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The Nine</w:t>
        <w:br w:type="textWrapping"/>
        <w:t xml:space="preserve">EasyOps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14 de Outubro de 2022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Ensinar Para Evoluir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Integrantes do projeto</w:t>
      </w:r>
    </w:p>
    <w:tbl>
      <w:tblPr>
        <w:tblStyle w:val="Table1"/>
        <w:tblW w:w="901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829"/>
        <w:gridCol w:w="1986"/>
        <w:gridCol w:w="4202"/>
        <w:tblGridChange w:id="0">
          <w:tblGrid>
            <w:gridCol w:w="2829"/>
            <w:gridCol w:w="1986"/>
            <w:gridCol w:w="42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No. USP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Caio Fernando Gonçalves Francisco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11208325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Front-End, 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Julia Mann Wharton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9808337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Scrum Master, Desenvolvedor Back-End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Karina Duran Munhos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11295911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QA, 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Vitor Hugo Marin Fonseca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11295852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Back-End, QA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Detalhamento do projeto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Visão Geral do Produto</w:t>
      </w:r>
    </w:p>
    <w:tbl>
      <w:tblPr>
        <w:tblStyle w:val="Table2"/>
        <w:tblW w:w="902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98" y="3709198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2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Nosso produto oferece uma forma fácil de criar e aplicar provas aos professores, reunindo todos seus alunos e turmas em um só lugar. O professor será capaz de criar perguntas objetivas ou discursivas, agendar a prova para turmas específicas e corrigir, tudo de um só lugar.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Também permite ao aluno realizar as provas de qualquer lugar com acesso a internet, podemos também acessar seu histórico, correções e notas sem o intermédio do professor, agilizando o processo de avaliação e retorno.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Épicos do Projeto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1133.858267716535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Criação da interface (front end)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1133.858267716535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Criação do back-end, integrando as funções do front com o banco de dados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133.858267716535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Criação e modelagem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Histórias do Usuários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spacing w:after="0" w:afterAutospacing="0"/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Épico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Criação da página inicial do site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Criação da página de login do usuário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Criação do página de perfil do aluno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0" w:line="288" w:lineRule="auto"/>
        <w:ind w:left="432" w:right="0" w:hanging="288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Criação da página de login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4"/>
        </w:numPr>
        <w:spacing w:after="0" w:afterAutospacing="0" w:before="60" w:beforeAutospacing="0"/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Épico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sistema de login, utilizando senha atribuída ou alterada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sistema de criação do usuário, gerando senha automática para primeiro acesso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mecanismo de alteração de senha, substituindo obrigatóriamente a senha de primeiro acesso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right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4"/>
        </w:numPr>
        <w:spacing w:after="0" w:afterAutospacing="0"/>
        <w:ind w:left="141.73228346456688" w:hanging="360"/>
        <w:rPr>
          <w:u w:val="none"/>
        </w:rPr>
      </w:pPr>
      <w:bookmarkStart w:colFirst="0" w:colLast="0" w:name="_heading=h.3gejifxtc16" w:id="0"/>
      <w:bookmarkEnd w:id="0"/>
      <w:r w:rsidDel="00000000" w:rsidR="00000000" w:rsidRPr="00000000">
        <w:rPr>
          <w:rtl w:val="0"/>
        </w:rPr>
        <w:t xml:space="preserve">Épico 3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60" w:lineRule="auto"/>
        <w:ind w:left="566.9291338582675" w:hanging="360"/>
        <w:rPr>
          <w:rFonts w:ascii="Noto Sans Symbols" w:cs="Noto Sans Symbols" w:eastAsia="Noto Sans Symbols" w:hAnsi="Noto Sans Symbols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sistema de login, utilizando senha atribuída ou alterada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60" w:lineRule="auto"/>
        <w:ind w:left="566.9291338582675" w:hanging="360"/>
        <w:rPr>
          <w:rFonts w:ascii="Noto Sans Symbols" w:cs="Noto Sans Symbols" w:eastAsia="Noto Sans Symbols" w:hAnsi="Noto Sans Symbols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sistema de criação do usuário, gerando senha automática para primeiro acesso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60" w:lineRule="auto"/>
        <w:ind w:left="566.9291338582675" w:hanging="360"/>
        <w:rPr>
          <w:rFonts w:ascii="Noto Sans Symbols" w:cs="Noto Sans Symbols" w:eastAsia="Noto Sans Symbols" w:hAnsi="Noto Sans Symbols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Criar mecanismo de alteração de senha, substituindo obrigatoriamente a senha de primeiro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Funcionalidades Entregues nesta Spring</w:t>
      </w:r>
    </w:p>
    <w:p w:rsidR="00000000" w:rsidDel="00000000" w:rsidP="00000000" w:rsidRDefault="00000000" w:rsidRPr="00000000" w14:paraId="00000031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Nessa sprint foram entregues as seguintes páginas: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color w:val="808080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Página inicial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color w:val="808080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Login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Perfil do aluno, com visualização das provas feitas e pendentes, assim como alteração da senha de usuário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Perfil do professor, 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Funcionalidades a serem entregues na próximas Sprint</w:t>
      </w:r>
    </w:p>
    <w:p w:rsidR="00000000" w:rsidDel="00000000" w:rsidP="00000000" w:rsidRDefault="00000000" w:rsidRPr="00000000" w14:paraId="00000037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Para a próxima sprint, pretendemos finalizar o sistema de criação, realização e feedback das provas.</w:t>
      </w:r>
    </w:p>
    <w:p w:rsidR="00000000" w:rsidDel="00000000" w:rsidP="00000000" w:rsidRDefault="00000000" w:rsidRPr="00000000" w14:paraId="00000038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Deve permitir que os professores criem provas com questões descritivas e objetivas, e as atribua às suas respectivas turmas.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aluno será capaz de visualizar e iniciar as provas atribuídas a ele, obtendo feedback imediato das questões objetivas no momento da finalização da prova. Também deve ser capaz de visualizar a prova após a correção do professor com a nota recebida.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3B">
      <w:pPr>
        <w:rPr>
          <w:color w:val="00000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Para o desenvolvimento das telas, foi utilizado HTML e CSS, com o framework React do JavaScript.</w:t>
      </w:r>
    </w:p>
    <w:p w:rsidR="00000000" w:rsidDel="00000000" w:rsidP="00000000" w:rsidRDefault="00000000" w:rsidRPr="00000000" w14:paraId="0000003C">
      <w:pPr>
        <w:rPr>
          <w:color w:val="000000"/>
          <w:sz w:val="22"/>
          <w:szCs w:val="22"/>
        </w:rPr>
      </w:pPr>
      <w:bookmarkStart w:colFirst="0" w:colLast="0" w:name="_heading=h.gd10t7hd98l5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 a implementação do back-end foi utilizado o Node.js.</w:t>
      </w:r>
    </w:p>
    <w:p w:rsidR="00000000" w:rsidDel="00000000" w:rsidP="00000000" w:rsidRDefault="00000000" w:rsidRPr="00000000" w14:paraId="0000003D">
      <w:pPr>
        <w:rPr>
          <w:color w:val="000000"/>
          <w:sz w:val="22"/>
          <w:szCs w:val="22"/>
        </w:rPr>
      </w:pPr>
      <w:bookmarkStart w:colFirst="0" w:colLast="0" w:name="_heading=h.tndrzq1aqkkt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Para o banco de dados, escolhemos o MySQL.</w:t>
      </w:r>
    </w:p>
    <w:p w:rsidR="00000000" w:rsidDel="00000000" w:rsidP="00000000" w:rsidRDefault="00000000" w:rsidRPr="00000000" w14:paraId="0000003E">
      <w:pPr>
        <w:rPr>
          <w:color w:val="000000"/>
          <w:sz w:val="22"/>
          <w:szCs w:val="22"/>
        </w:rPr>
      </w:pPr>
      <w:bookmarkStart w:colFirst="0" w:colLast="0" w:name="_heading=h.g6ztdbib7i2m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Para o deploy, vamos utilizar a plataforma gratuita Heroku.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Cronograma de alto nível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6.8841394825652"/>
        <w:gridCol w:w="5345.4668166479205"/>
        <w:gridCol w:w="1813.1608548931388"/>
        <w:tblGridChange w:id="0">
          <w:tblGrid>
            <w:gridCol w:w="1866.8841394825652"/>
            <w:gridCol w:w="5345.4668166479205"/>
            <w:gridCol w:w="1813.160854893138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16 de Setembro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Definição das Epic, features e user-story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Início do desenvolvimento do front-end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Início da Modelagem do banco de dados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Finalizado sem atraso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30 de Setembro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Prazo final de decisão da ferramenta de hospedagem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 do protótipo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Definição da modelagem do banco de dados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Início do desenvolvimento do back-end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Finalizado sem atraso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 de Outubro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 de uma primeira versão com funcionalidades mais básicas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 progresso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 de Novembro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Revisão e testes de acessibilidade do front-end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iniciar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18 de Novembro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Testes de integração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Implantação no Heroku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iniciar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02 de Dezembro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 do produto final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iniciar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Investimento Total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Estimativa de esforço (horas trabalhadas):</w:t>
      </w:r>
      <w:r w:rsidDel="00000000" w:rsidR="00000000" w:rsidRPr="00000000">
        <w:rPr>
          <w:rtl w:val="0"/>
        </w:rPr>
        <w:t xml:space="preserve"> Descrever o que foi investido em horas até o protótipo (30% do projeto) e o que será necessário até o fechamento do projeto em horas (70% restante). </w:t>
      </w:r>
      <w:r w:rsidDel="00000000" w:rsidR="00000000" w:rsidRPr="00000000">
        <w:rPr>
          <w:b w:val="1"/>
          <w:rtl w:val="0"/>
        </w:rPr>
        <w:t xml:space="preserve">Estimar em número de horas</w:t>
      </w:r>
      <w:r w:rsidDel="00000000" w:rsidR="00000000" w:rsidRPr="00000000">
        <w:rPr>
          <w:rtl w:val="0"/>
        </w:rPr>
        <w:t xml:space="preserve"> por épicos por exemplo.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Estimativa de investimento financeiro (R$):</w:t>
      </w:r>
      <w:r w:rsidDel="00000000" w:rsidR="00000000" w:rsidRPr="00000000">
        <w:rPr>
          <w:rtl w:val="0"/>
        </w:rPr>
        <w:t xml:space="preserve"> não houve investimento financeiro até  momento, já que as ferramentas utilizadas para construir as páginas até então não são pagas, e o produto ainda não foi implementado em nenhuma plataforma. A plataforma escolhida não deve gerar custos adicionais.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Plano de implementação (roll-out para produção)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implantação será feita pela plataforma Heroku, através da sua integração com o GitHub. Ainda não foi realizado, sendo a entrega prevista para o fim da próxima sprint.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 com o projeto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Aprovamos o projeto como descrito acima e autorizamos a equipe a prosseguir.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7.0" w:type="dxa"/>
        <w:jc w:val="left"/>
        <w:tblInd w:w="0.0" w:type="pct"/>
        <w:tblLayout w:type="fixed"/>
        <w:tblLook w:val="0400"/>
      </w:tblPr>
      <w:tblGrid>
        <w:gridCol w:w="1156"/>
        <w:gridCol w:w="1876"/>
        <w:gridCol w:w="168"/>
        <w:gridCol w:w="1040"/>
        <w:gridCol w:w="554"/>
        <w:gridCol w:w="1303"/>
        <w:gridCol w:w="1724"/>
        <w:gridCol w:w="168"/>
        <w:gridCol w:w="1038"/>
        <w:tblGridChange w:id="0">
          <w:tblGrid>
            <w:gridCol w:w="1156"/>
            <w:gridCol w:w="1876"/>
            <w:gridCol w:w="168"/>
            <w:gridCol w:w="1040"/>
            <w:gridCol w:w="554"/>
            <w:gridCol w:w="1303"/>
            <w:gridCol w:w="1724"/>
            <w:gridCol w:w="168"/>
            <w:gridCol w:w="1038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Aprovado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Escopo e Notas Finais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</w:tc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Alexandre Grotta</w:t>
              <w:br w:type="textWrapping"/>
              <w:t xml:space="preserve">(Product Owner) 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Aprovado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Orçamento</w:t>
            </w:r>
            <w:r w:rsidDel="00000000" w:rsidR="00000000" w:rsidRPr="00000000">
              <w:rPr>
                <w:rtl w:val="0"/>
              </w:rPr>
              <w:t xml:space="preserve"> por</w:t>
            </w:r>
          </w:p>
        </w:tc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Edmir P. V. Prado</w:t>
              <w:br w:type="textWrapping"/>
              <w:t xml:space="preserve">(Gerente Geral)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1f4e7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6743700</wp:posOffset>
              </wp:positionH>
              <wp:positionV relativeFrom="paragraph">
                <wp:posOffset>88900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6743700</wp:posOffset>
              </wp:positionH>
              <wp:positionV relativeFrom="paragraph">
                <wp:posOffset>88900</wp:posOffset>
              </wp:positionV>
              <wp:extent cx="348615" cy="19240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cs="Noto Sans Symbols" w:eastAsia="Noto Sans Symbols" w:hAnsi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2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BP2nkAt8TdDY/KuIEGBuEfaHA==">AMUW2mXS6tFGVi3VApBPaOPSoEhSYJO6S7lwMzuz0PJwMnrTKYQGndFCPY9avw48JTKMB5q24QLShaHg5qWpovlEGwNOZX8KOZiCYOsnBpsBkskBx4bDxUSTsAIW3j3SjcLpWhpms3/Qn3gY5ChsPCkVMeFW1L+IO1/BK47O+mEPAWZz+BKDbwS0sssUnzzbJCLD7suVbbfmxK24hOLeTRuuhZs+3hfInQ==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2022-10-10T02:30:00Z</dcterms:created>
  <dc:creator>AG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  <property fmtid="{D5CDD505-2E9C-101B-9397-08002B2CF9AE}" pid="13" name="GrammarlyDocumentId">
    <vt:lpwstr>4841b98750ed65728e96bbc5f0a4b0a5f1fa0f5985f72fd3f8fa1fb24005d2d1</vt:lpwstr>
  </property>
</Properties>
</file>