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i w:val="0"/>
          <w:color w:val="0B2545"/>
          <w:sz w:val="40"/>
        </w:rPr>
        <w:t>Estado del arte</w:t>
      </w:r>
    </w:p>
    <w:p>
      <w:pPr>
        <w:spacing w:after="320"/>
      </w:pPr>
      <w:r>
        <w:rPr>
          <w:rFonts w:ascii="Calibri" w:hAnsi="Calibri"/>
          <w:b w:val="0"/>
          <w:i/>
          <w:color w:val="666666"/>
          <w:sz w:val="22"/>
        </w:rPr>
        <w:t>Revisión sistemática de literatura para Win2APK</w:t>
      </w:r>
    </w:p>
    <w:p>
      <w:pPr>
        <w:spacing w:after="280"/>
      </w:pPr>
      <w:r>
        <w:rPr>
          <w:rFonts w:ascii="Calibri" w:hAnsi="Calibri"/>
          <w:b w:val="0"/>
          <w:i w:val="0"/>
          <w:color w:val="666666"/>
          <w:sz w:val="18"/>
        </w:rPr>
        <w:t>Corte de los archivos analizados: 29 de agosto de 2026</w:t>
      </w:r>
    </w:p>
    <w:p>
      <w:pPr>
        <w:pStyle w:val="Heading1"/>
      </w:pPr>
      <w:r>
        <w:t>1. Metodología de revisión</w:t>
      </w:r>
    </w:p>
    <w:p>
      <w:pPr>
        <w:keepLines w:val="0"/>
        <w:jc w:val="both"/>
      </w:pPr>
      <w:r>
        <w:rPr>
          <w:rFonts w:ascii="Calibri" w:hAnsi="Calibri"/>
          <w:b w:val="0"/>
          <w:i w:val="0"/>
          <w:sz w:val="22"/>
        </w:rPr>
        <w:t>El estado del arte se desarrolló mediante una revisión sistemática estructurada con base en la declaración PRISMA 2020. Esta guía recomienda informar de manera transparente las fuentes consultadas, la estrategia de búsqueda, los criterios de selección y el flujo de inclusión de los estudios. En este proyecto, la revisión busca identificar antecedentes sobre portabilidad de software, migración de aplicaciones legadas, traducción binaria entre arquitecturas, compatibilidad y emulación móvil.</w:t>
      </w:r>
    </w:p>
    <w:p>
      <w:pPr>
        <w:keepLines w:val="0"/>
        <w:jc w:val="both"/>
      </w:pPr>
      <w:r>
        <w:rPr>
          <w:rFonts w:ascii="Calibri" w:hAnsi="Calibri"/>
          <w:b w:val="0"/>
          <w:i w:val="0"/>
          <w:sz w:val="22"/>
        </w:rPr>
        <w:t>La búsqueda documentada hasta el momento se realizó únicamente en Scopus. Se consideraron publicaciones en inglés y español dentro del periodo 2020-2026. La estrategia se dividió en cuatro consultas temáticas para evitar que el análisis dependiera exclusivamente del término Winlator, cuya presencia en la literatura científica es limitada.</w:t>
      </w:r>
    </w:p>
    <w:p>
      <w:pPr>
        <w:pStyle w:val="Caption"/>
        <w:spacing w:before="80" w:after="80"/>
        <w:jc w:val="left"/>
      </w:pPr>
      <w:r>
        <w:rPr>
          <w:rFonts w:ascii="Calibri" w:hAnsi="Calibri"/>
          <w:b/>
          <w:i w:val="0"/>
          <w:color w:val="404040"/>
          <w:sz w:val="20"/>
        </w:rPr>
        <w:t>Tabla 1. Registros obtenidos por consulta</w:t>
      </w:r>
    </w:p>
    <w:tbl>
      <w:tblPr>
        <w:tblW w:type="dxa" w:w="9360"/>
        <w:jc w:val="left"/>
        <w:tblLayout w:type="fixed"/>
        <w:tblLook w:firstColumn="1" w:firstRow="1" w:lastColumn="0" w:lastRow="0" w:noHBand="0" w:noVBand="1" w:val="04A0"/>
        <w:tblInd w:w="120" w:type="dxa"/>
      </w:tblPr>
      <w:tblGrid>
        <w:gridCol w:w="900"/>
        <w:gridCol w:w="2850"/>
        <w:gridCol w:w="1500"/>
        <w:gridCol w:w="4110"/>
      </w:tblGrid>
      <w:tr>
        <w:trPr>
          <w:tblHeader w:val="true"/>
        </w:trPr>
        <w:tc>
          <w:tcPr>
            <w:tcW w:type="dxa" w:w="900"/>
            <w:tcMar>
              <w:top w:w="80" w:type="dxa"/>
              <w:start w:w="120" w:type="dxa"/>
              <w:bottom w:w="80" w:type="dxa"/>
              <w:end w:w="120" w:type="dxa"/>
            </w:tcMar>
            <w:vAlign w:val="top"/>
            <w:shd w:fill="F4F6F9"/>
          </w:tcPr>
          <w:p>
            <w:pPr>
              <w:spacing w:after="0"/>
            </w:pPr>
            <w:r>
              <w:rPr>
                <w:rFonts w:ascii="Calibri" w:hAnsi="Calibri"/>
                <w:b/>
                <w:i w:val="0"/>
                <w:color w:val="0B2545"/>
                <w:sz w:val="17"/>
              </w:rPr>
              <w:t>Consulta</w:t>
            </w:r>
          </w:p>
        </w:tc>
        <w:tc>
          <w:tcPr>
            <w:tcW w:type="dxa" w:w="2850"/>
            <w:tcMar>
              <w:top w:w="80" w:type="dxa"/>
              <w:start w:w="120" w:type="dxa"/>
              <w:bottom w:w="80" w:type="dxa"/>
              <w:end w:w="120" w:type="dxa"/>
            </w:tcMar>
            <w:vAlign w:val="top"/>
            <w:shd w:fill="F4F6F9"/>
          </w:tcPr>
          <w:p>
            <w:pPr>
              <w:spacing w:after="0"/>
            </w:pPr>
            <w:r>
              <w:rPr>
                <w:rFonts w:ascii="Calibri" w:hAnsi="Calibri"/>
                <w:b/>
                <w:i w:val="0"/>
                <w:color w:val="0B2545"/>
                <w:sz w:val="17"/>
              </w:rPr>
              <w:t>Orientación</w:t>
            </w:r>
          </w:p>
        </w:tc>
        <w:tc>
          <w:tcPr>
            <w:tcW w:type="dxa" w:w="1500"/>
            <w:tcMar>
              <w:top w:w="80" w:type="dxa"/>
              <w:start w:w="120" w:type="dxa"/>
              <w:bottom w:w="80" w:type="dxa"/>
              <w:end w:w="120" w:type="dxa"/>
            </w:tcMar>
            <w:vAlign w:val="top"/>
            <w:shd w:fill="F4F6F9"/>
          </w:tcPr>
          <w:p>
            <w:pPr>
              <w:spacing w:after="0"/>
            </w:pPr>
            <w:r>
              <w:rPr>
                <w:rFonts w:ascii="Calibri" w:hAnsi="Calibri"/>
                <w:b/>
                <w:i w:val="0"/>
                <w:color w:val="0B2545"/>
                <w:sz w:val="17"/>
              </w:rPr>
              <w:t>Registros</w:t>
            </w:r>
          </w:p>
        </w:tc>
        <w:tc>
          <w:tcPr>
            <w:tcW w:type="dxa" w:w="4110"/>
            <w:tcMar>
              <w:top w:w="80" w:type="dxa"/>
              <w:start w:w="120" w:type="dxa"/>
              <w:bottom w:w="80" w:type="dxa"/>
              <w:end w:w="120" w:type="dxa"/>
            </w:tcMar>
            <w:vAlign w:val="top"/>
            <w:shd w:fill="F4F6F9"/>
          </w:tcPr>
          <w:p>
            <w:pPr>
              <w:spacing w:after="0"/>
            </w:pPr>
            <w:r>
              <w:rPr>
                <w:rFonts w:ascii="Calibri" w:hAnsi="Calibri"/>
                <w:b/>
                <w:i w:val="0"/>
                <w:color w:val="0B2545"/>
                <w:sz w:val="17"/>
              </w:rPr>
              <w:t>Tipos documentales registrados</w:t>
            </w:r>
          </w:p>
        </w:tc>
      </w:tr>
      <w:tr>
        <w:tc>
          <w:tcPr>
            <w:tcW w:type="dxa" w:w="900"/>
          </w:tcPr>
          <w:p>
            <w:pPr>
              <w:spacing w:after="0"/>
            </w:pPr>
            <w:r>
              <w:rPr>
                <w:rFonts w:ascii="Calibri" w:hAnsi="Calibri"/>
                <w:b w:val="0"/>
                <w:i w:val="0"/>
                <w:sz w:val="17"/>
              </w:rPr>
              <w:t>S1</w:t>
            </w:r>
          </w:p>
        </w:tc>
        <w:tc>
          <w:tcPr>
            <w:tcW w:type="dxa" w:w="2850"/>
          </w:tcPr>
          <w:p>
            <w:pPr>
              <w:spacing w:after="0"/>
            </w:pPr>
            <w:r>
              <w:rPr>
                <w:rFonts w:ascii="Calibri" w:hAnsi="Calibri"/>
                <w:b w:val="0"/>
                <w:i w:val="0"/>
                <w:sz w:val="17"/>
              </w:rPr>
              <w:t>Traducción binaria y compatibilidad x86/ARM</w:t>
            </w:r>
          </w:p>
        </w:tc>
        <w:tc>
          <w:tcPr>
            <w:tcW w:type="dxa" w:w="1500"/>
          </w:tcPr>
          <w:p>
            <w:pPr>
              <w:spacing w:after="0"/>
            </w:pPr>
            <w:r>
              <w:rPr>
                <w:rFonts w:ascii="Calibri" w:hAnsi="Calibri"/>
                <w:b w:val="0"/>
                <w:i w:val="0"/>
                <w:sz w:val="17"/>
              </w:rPr>
              <w:t>28</w:t>
            </w:r>
          </w:p>
        </w:tc>
        <w:tc>
          <w:tcPr>
            <w:tcW w:type="dxa" w:w="4110"/>
          </w:tcPr>
          <w:p>
            <w:pPr>
              <w:spacing w:after="0"/>
            </w:pPr>
            <w:r>
              <w:rPr>
                <w:rFonts w:ascii="Calibri" w:hAnsi="Calibri"/>
                <w:b w:val="0"/>
                <w:i w:val="0"/>
                <w:sz w:val="17"/>
              </w:rPr>
              <w:t>Article: 7; Conference paper: 21</w:t>
            </w:r>
          </w:p>
        </w:tc>
      </w:tr>
      <w:tr>
        <w:tc>
          <w:tcPr>
            <w:tcW w:type="dxa" w:w="900"/>
          </w:tcPr>
          <w:p>
            <w:pPr>
              <w:spacing w:after="0"/>
            </w:pPr>
            <w:r>
              <w:rPr>
                <w:rFonts w:ascii="Calibri" w:hAnsi="Calibri"/>
                <w:b w:val="0"/>
                <w:i w:val="0"/>
                <w:sz w:val="17"/>
              </w:rPr>
              <w:t>S2</w:t>
            </w:r>
          </w:p>
        </w:tc>
        <w:tc>
          <w:tcPr>
            <w:tcW w:type="dxa" w:w="2850"/>
          </w:tcPr>
          <w:p>
            <w:pPr>
              <w:spacing w:after="0"/>
            </w:pPr>
            <w:r>
              <w:rPr>
                <w:rFonts w:ascii="Calibri" w:hAnsi="Calibri"/>
                <w:b w:val="0"/>
                <w:i w:val="0"/>
                <w:sz w:val="17"/>
              </w:rPr>
              <w:t>Capas de compatibilidad y emulación móvil</w:t>
            </w:r>
          </w:p>
        </w:tc>
        <w:tc>
          <w:tcPr>
            <w:tcW w:type="dxa" w:w="1500"/>
          </w:tcPr>
          <w:p>
            <w:pPr>
              <w:spacing w:after="0"/>
            </w:pPr>
            <w:r>
              <w:rPr>
                <w:rFonts w:ascii="Calibri" w:hAnsi="Calibri"/>
                <w:b w:val="0"/>
                <w:i w:val="0"/>
                <w:sz w:val="17"/>
              </w:rPr>
              <w:t>20</w:t>
            </w:r>
          </w:p>
        </w:tc>
        <w:tc>
          <w:tcPr>
            <w:tcW w:type="dxa" w:w="4110"/>
          </w:tcPr>
          <w:p>
            <w:pPr>
              <w:spacing w:after="0"/>
            </w:pPr>
            <w:r>
              <w:rPr>
                <w:rFonts w:ascii="Calibri" w:hAnsi="Calibri"/>
                <w:b w:val="0"/>
                <w:i w:val="0"/>
                <w:sz w:val="17"/>
              </w:rPr>
              <w:t>Article: 8; Conference paper: 11; Review: 1</w:t>
            </w:r>
          </w:p>
        </w:tc>
      </w:tr>
      <w:tr>
        <w:tc>
          <w:tcPr>
            <w:tcW w:type="dxa" w:w="900"/>
          </w:tcPr>
          <w:p>
            <w:pPr>
              <w:spacing w:after="0"/>
            </w:pPr>
            <w:r>
              <w:rPr>
                <w:rFonts w:ascii="Calibri" w:hAnsi="Calibri"/>
                <w:b w:val="0"/>
                <w:i w:val="0"/>
                <w:sz w:val="17"/>
              </w:rPr>
              <w:t>S3</w:t>
            </w:r>
          </w:p>
        </w:tc>
        <w:tc>
          <w:tcPr>
            <w:tcW w:type="dxa" w:w="2850"/>
          </w:tcPr>
          <w:p>
            <w:pPr>
              <w:spacing w:after="0"/>
            </w:pPr>
            <w:r>
              <w:rPr>
                <w:rFonts w:ascii="Calibri" w:hAnsi="Calibri"/>
                <w:b w:val="0"/>
                <w:i w:val="0"/>
                <w:sz w:val="17"/>
              </w:rPr>
              <w:t>Empaquetado, runtime y virtualización de aplicaciones</w:t>
            </w:r>
          </w:p>
        </w:tc>
        <w:tc>
          <w:tcPr>
            <w:tcW w:type="dxa" w:w="1500"/>
          </w:tcPr>
          <w:p>
            <w:pPr>
              <w:spacing w:after="0"/>
            </w:pPr>
            <w:r>
              <w:rPr>
                <w:rFonts w:ascii="Calibri" w:hAnsi="Calibri"/>
                <w:b w:val="0"/>
                <w:i w:val="0"/>
                <w:sz w:val="17"/>
              </w:rPr>
              <w:t>105</w:t>
            </w:r>
          </w:p>
        </w:tc>
        <w:tc>
          <w:tcPr>
            <w:tcW w:type="dxa" w:w="4110"/>
          </w:tcPr>
          <w:p>
            <w:pPr>
              <w:spacing w:after="0"/>
            </w:pPr>
            <w:r>
              <w:rPr>
                <w:rFonts w:ascii="Calibri" w:hAnsi="Calibri"/>
                <w:b w:val="0"/>
                <w:i w:val="0"/>
                <w:sz w:val="17"/>
              </w:rPr>
              <w:t>Article: 29; Book chapter: 3; Conference paper: 67; Conference review: 5; Review: 1</w:t>
            </w:r>
          </w:p>
        </w:tc>
      </w:tr>
      <w:tr>
        <w:tc>
          <w:tcPr>
            <w:tcW w:type="dxa" w:w="900"/>
          </w:tcPr>
          <w:p>
            <w:pPr>
              <w:spacing w:after="0"/>
            </w:pPr>
            <w:r>
              <w:rPr>
                <w:rFonts w:ascii="Calibri" w:hAnsi="Calibri"/>
                <w:b w:val="0"/>
                <w:i w:val="0"/>
                <w:sz w:val="17"/>
              </w:rPr>
              <w:t>S4</w:t>
            </w:r>
          </w:p>
        </w:tc>
        <w:tc>
          <w:tcPr>
            <w:tcW w:type="dxa" w:w="2850"/>
          </w:tcPr>
          <w:p>
            <w:pPr>
              <w:spacing w:after="0"/>
            </w:pPr>
            <w:r>
              <w:rPr>
                <w:rFonts w:ascii="Calibri" w:hAnsi="Calibri"/>
                <w:b w:val="0"/>
                <w:i w:val="0"/>
                <w:sz w:val="17"/>
              </w:rPr>
              <w:t>Portabilidad y migración de software existente</w:t>
            </w:r>
          </w:p>
        </w:tc>
        <w:tc>
          <w:tcPr>
            <w:tcW w:type="dxa" w:w="1500"/>
          </w:tcPr>
          <w:p>
            <w:pPr>
              <w:spacing w:after="0"/>
            </w:pPr>
            <w:r>
              <w:rPr>
                <w:rFonts w:ascii="Calibri" w:hAnsi="Calibri"/>
                <w:b w:val="0"/>
                <w:i w:val="0"/>
                <w:sz w:val="17"/>
              </w:rPr>
              <w:t>394</w:t>
            </w:r>
          </w:p>
        </w:tc>
        <w:tc>
          <w:tcPr>
            <w:tcW w:type="dxa" w:w="4110"/>
          </w:tcPr>
          <w:p>
            <w:pPr>
              <w:spacing w:after="0"/>
            </w:pPr>
            <w:r>
              <w:rPr>
                <w:rFonts w:ascii="Calibri" w:hAnsi="Calibri"/>
                <w:b w:val="0"/>
                <w:i w:val="0"/>
                <w:sz w:val="17"/>
              </w:rPr>
              <w:t>Article: 118; Book: 3; Book chapter: 9; Conference paper: 248; Conference review: 9; Review: 7</w:t>
            </w:r>
          </w:p>
        </w:tc>
      </w:tr>
    </w:tbl>
    <w:p>
      <w:pPr>
        <w:pStyle w:val="Heading1"/>
      </w:pPr>
      <w:r>
        <w:t>2. Ecuaciones y criterios de búsqueda</w:t>
      </w:r>
    </w:p>
    <w:p>
      <w:pPr>
        <w:keepLines w:val="0"/>
        <w:jc w:val="both"/>
      </w:pPr>
      <w:r>
        <w:t>Las cuatro consultas se diseñaron para cubrir componentes distintos del problema. S1 aborda la traducción binaria entre arquitecturas x86 y ARM; S2, las capas de compatibilidad y la emulación en plataformas móviles; S3, el empaquetado y la incorporación de runtimes y dependencias; y S4, la portabilidad y migración de software existente. Las ecuaciones registradas fueron las siguientes:</w:t>
      </w:r>
    </w:p>
    <w:p>
      <w:pPr>
        <w:pStyle w:val="CodeBlock"/>
        <w:spacing w:before="60" w:after="120"/>
        <w:ind w:left="360" w:right="360"/>
      </w:pPr>
      <w:r>
        <w:rPr>
          <w:rFonts w:ascii="Consolas" w:hAnsi="Consolas"/>
          <w:b w:val="0"/>
          <w:i w:val="0"/>
          <w:color w:val="1F2937"/>
          <w:sz w:val="17"/>
        </w:rPr>
        <w:t>S1 = TITLE-ABS-KEY(("dynamic binary translation" OR "binary translation" OR "cross-ISA emulation") AND ((x86 OR "x86-64") AND (ARM OR ARM64 OR AArch64))) AND PUBYEAR &gt; 2019 AND PUBYEAR &lt; 2027</w:t>
      </w:r>
    </w:p>
    <w:p>
      <w:pPr>
        <w:pStyle w:val="CodeBlock"/>
        <w:spacing w:before="60" w:after="120"/>
        <w:ind w:left="360" w:right="360"/>
      </w:pPr>
      <w:r>
        <w:rPr>
          <w:rFonts w:ascii="Consolas" w:hAnsi="Consolas"/>
          <w:b w:val="0"/>
          <w:i w:val="0"/>
          <w:color w:val="1F2937"/>
          <w:sz w:val="17"/>
        </w:rPr>
        <w:t>S2 = TITLE-ABS-KEY(("compatibility layer" OR "application compatibility" OR "application emulation" OR "mobile emulation" OR "software emulation") AND (Android OR ARM OR ARM64 OR AArch64 OR "mobile platform") AND (application* OR software OR runtime)) AND PUBYEAR &gt; 2019 AND PUBYEAR &lt; 2027</w:t>
      </w:r>
    </w:p>
    <w:p>
      <w:pPr>
        <w:pStyle w:val="CodeBlock"/>
      </w:pPr>
      <w:r>
        <w:t>S3 = TITLE-ABS-KEY((("self-contained deployment package*" OR "self-contained application*" OR "software packaging" OR "application packaging" OR "runtime bundling" OR "application bundling" OR "dependency bundling" OR "software encapsulation" OR "application virtualization") AND (software OR application* OR runtime OR dependenc* OR deployment))) AND PUBYEAR &gt; 2019 AND PUBYEAR &lt; 2027 AND (LIMIT-TO(SUBJAREA, "COMP"))</w:t>
      </w:r>
    </w:p>
    <w:p>
      <w:pPr>
        <w:pStyle w:val="CodeBlock"/>
      </w:pPr>
      <w:r>
        <w:t>S4 = TITLE-ABS-KEY((("cross-platform software development" OR "software portability" OR "application portability" OR "legacy application migration" OR "legacy software migration" OR "non-cloud-native application*" OR "application migration") AND (software OR application*) AND (migration OR transformation OR runtime OR deployment OR compatibility OR reuse))) AND PUBYEAR &gt; 2019 AND PUBYEAR &lt; 2027 AND (LIMIT-TO(SUBJAREA, "COMP"))</w:t>
      </w:r>
    </w:p>
    <w:p>
      <w:pPr>
        <w:keepLines w:val="0"/>
        <w:jc w:val="both"/>
      </w:pPr>
      <w:r>
        <w:t>Las cuatro búsquedas se ejecutaron en Scopus sobre título, resumen y palabras clave, con el periodo 2020-2026. S3 y S4 limitaron además los resultados al área de Ciencias de la Computación mediante el filtro SUBJAREA "COMP". Las cadenas se conservaron literalmente para permitir la reproducción de la búsqueda.</w:t>
      </w:r>
    </w:p>
    <w:p>
      <w:pPr>
        <w:keepLines w:val="0"/>
        <w:jc w:val="both"/>
      </w:pPr>
      <w:r>
        <w:rPr>
          <w:rFonts w:ascii="Calibri" w:hAnsi="Calibri"/>
          <w:b w:val="0"/>
          <w:i w:val="0"/>
          <w:sz w:val="22"/>
        </w:rPr>
        <w:t>Se incluyeron estudios publicados entre 2020 y 2026, escritos en inglés o español, que abordaran portabilidad de software, ejecución sobre arquitecturas diferentes, traducción binaria, emulación, compatibilidad, virtualización de aplicaciones o migración de software legado. También se priorizaron trabajos con metodología identificable, variables observables y resultados analizables.</w:t>
      </w:r>
    </w:p>
    <w:p>
      <w:pPr>
        <w:keepLines w:val="0"/>
        <w:jc w:val="both"/>
      </w:pPr>
      <w:r>
        <w:rPr>
          <w:rFonts w:ascii="Calibri" w:hAnsi="Calibri"/>
          <w:b w:val="0"/>
          <w:i w:val="0"/>
          <w:sz w:val="22"/>
        </w:rPr>
        <w:t>Se excluyeron duplicados, publicaciones fuera del periodo, trabajos sin relación con la ejecución o portabilidad de aplicaciones, estudios centrados únicamente en hardware, migración de datos, redes, cloud computing o edge computing, y documentos en los que los términos de búsqueda aparecieran de manera incidental. Los motivos de exclusión se codificarán mediante las categorías E1 a E10 definidas para la matriz de cribado.</w:t>
      </w:r>
    </w:p>
    <w:p>
      <w:pPr>
        <w:pStyle w:val="Heading1"/>
      </w:pPr>
      <w:r>
        <w:t>3. Registros identificados y flujo PRISMA</w:t>
      </w:r>
    </w:p>
    <w:p>
      <w:pPr>
        <w:keepLines w:val="0"/>
        <w:jc w:val="both"/>
      </w:pPr>
      <w:r>
        <w:rPr>
          <w:rFonts w:ascii="Calibri" w:hAnsi="Calibri"/>
          <w:b w:val="0"/>
          <w:i w:val="0"/>
          <w:sz w:val="22"/>
        </w:rPr>
        <w:t>Los cuatro archivos contienen 28 registros en S1, 20 en S2, 105 en S3 y 394 en S4, para un total de 547 registros. La comparación por DOI confirmó 7 registros duplicados entre consultas y dejó 540 registros únicos como conteo provisional.</w:t>
      </w:r>
    </w:p>
    <w:p>
      <w:pPr>
        <w:keepLines w:val="0"/>
        <w:jc w:val="both"/>
      </w:pPr>
      <w:r>
        <w:rPr>
          <w:rFonts w:ascii="Calibri" w:hAnsi="Calibri"/>
          <w:b w:val="0"/>
          <w:i w:val="0"/>
          <w:sz w:val="22"/>
        </w:rPr>
        <w:t>El conteo por DOI no permite cerrar todavía toda la deduplicación. En S4 aparecen tres registros con el mismo título de un evento y sin DOI. Además, existen algunos títulos iguales asociados con DOI, años o tipos documentales diferentes, por lo que no deben eliminarse automáticamente. La revisión manual debe resolver estos casos antes de fijar el número definitivo de registros cribados. En consecuencia, el valor anterior reemplaza provisionalmente el conteo de 538 que se había anotado sin una trazabilidad completa en los archivos actuales.</w:t>
      </w:r>
    </w:p>
    <w:p>
      <w:pPr>
        <w:pStyle w:val="Caption"/>
        <w:spacing w:before="80" w:after="80"/>
        <w:jc w:val="left"/>
      </w:pPr>
      <w:r>
        <w:rPr>
          <w:rFonts w:ascii="Calibri" w:hAnsi="Calibri"/>
          <w:b/>
          <w:i w:val="0"/>
          <w:color w:val="404040"/>
          <w:sz w:val="20"/>
        </w:rPr>
        <w:t>Figura 1. Flujo preliminar de identificación y selección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8EEF5"/>
          </w:tcPr>
          <w:p>
            <w:pPr>
              <w:spacing w:after="0"/>
              <w:jc w:val="center"/>
            </w:pPr>
            <w:r>
              <w:rPr>
                <w:rFonts w:ascii="Calibri" w:hAnsi="Calibri"/>
                <w:b/>
                <w:i w:val="0"/>
                <w:color w:val="0B2545"/>
                <w:sz w:val="20"/>
              </w:rPr>
              <w:t>Registros identificados en Scopus: 547</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Duplicados confirmados por DOI: 7</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Registros únicos después de deduplicación por DOI: 540</w:t>
            </w:r>
          </w:p>
        </w:tc>
      </w:tr>
    </w:tbl>
    <w:p>
      <w:pPr>
        <w:pStyle w:val="Caption"/>
        <w:keepLines w:val="0"/>
        <w:jc w:val="both"/>
      </w:pPr>
      <w:r>
        <w:rPr>
          <w:rFonts w:ascii="Calibri" w:hAnsi="Calibri"/>
          <w:b w:val="0"/>
          <w:i w:val="0"/>
          <w:sz w:val="22"/>
        </w:rPr>
        <w:t>Nota: tres registros con el mismo título y sin DOI permanecen sujetos a revisión manual; no se eliminaron del conteo provisional.</w:t>
      </w:r>
    </w:p>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Cribado por título y resumen: N/R</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Textos completos evaluados: N/R</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rPr>
                <w:rFonts w:ascii="Calibri" w:hAnsi="Calibri"/>
                <w:b/>
                <w:i w:val="0"/>
                <w:color w:val="0B2545"/>
                <w:sz w:val="20"/>
              </w:rPr>
              <w:t>Estudios incluidos: N/R</w:t>
            </w:r>
          </w:p>
        </w:tc>
      </w:tr>
    </w:tbl>
    <w:p>
      <w:pPr>
        <w:keepLines w:val="0"/>
        <w:jc w:val="both"/>
      </w:pPr>
      <w:r>
        <w:rPr>
          <w:rFonts w:ascii="Calibri" w:hAnsi="Calibri"/>
          <w:b w:val="0"/>
          <w:i w:val="0"/>
          <w:sz w:val="22"/>
        </w:rPr>
        <w:t>Los valores N/R deben sustituirse únicamente después de revisar la matriz de cribado y registrar el motivo de cada exclusión. La figura final deberá indicar los documentos excluidos en cada fase y los motivos correspondientes, conforme al diagrama PRISMA 2020.</w:t>
      </w:r>
    </w:p>
    <w:p>
      <w:pPr>
        <w:pStyle w:val="Heading1"/>
      </w:pPr>
      <w:r>
        <w:t>4. Análisis crítico y comparativo</w:t>
      </w:r>
    </w:p>
    <w:p>
      <w:pPr>
        <w:keepLines w:val="0"/>
        <w:jc w:val="both"/>
      </w:pPr>
      <w:r>
        <w:rPr>
          <w:rFonts w:ascii="Calibri" w:hAnsi="Calibri"/>
          <w:b w:val="0"/>
          <w:i w:val="0"/>
          <w:sz w:val="22"/>
        </w:rPr>
        <w:t>La literatura revisada muestra una evolución desde los enfoques de desarrollo multiplataforma hacia estrategias que buscan conservar aplicaciones existentes. Blanco y Lucrédio (2021) proponen un enfoque basado en modelos, transformaciones automáticas y una abstracción que permite distribuir funcionalidades entre plataformas. Sus evaluaciones incluyeron la recreación de un sistema existente, pruebas con desarrolladores expertos y principiantes, y soporte para pruebas multiplataforma. El trabajo respalda la reutilización de conceptos y el uso de un entorno común, pero parte de la posibilidad de intervenir en el desarrollo del software. No resuelve directamente el caso de una aplicación Windows ya compilada sin código fuente disponible.</w:t>
      </w:r>
    </w:p>
    <w:p>
      <w:pPr>
        <w:keepLines w:val="0"/>
        <w:jc w:val="both"/>
      </w:pPr>
      <w:r>
        <w:rPr>
          <w:rFonts w:ascii="Calibri" w:hAnsi="Calibri"/>
          <w:b w:val="0"/>
          <w:i w:val="0"/>
          <w:sz w:val="22"/>
        </w:rPr>
        <w:t>El problema de conservar aplicaciones existentes aparece de forma más directa en Yarza et al. (2021), quienes estudian la migración de software legado hacia nuevas arquitecturas mediante traducción binaria y contratos temporales formales. El estudio considera que la migración debe preservar tanto el comportamiento funcional como las restricciones de tiempo. Su escenario se concentra en sistemas embebidos de tiempo real, por lo que no aborda la distribución de aplicaciones Windows dentro de paquetes Android. Aun así, ofrece una base para justificar la reutilización de software cuando una reescritura completa no resulta conveniente.</w:t>
      </w:r>
    </w:p>
    <w:p>
      <w:pPr>
        <w:keepLines w:val="0"/>
        <w:jc w:val="both"/>
      </w:pPr>
      <w:r>
        <w:rPr>
          <w:rFonts w:ascii="Calibri" w:hAnsi="Calibri"/>
          <w:b w:val="0"/>
          <w:i w:val="0"/>
          <w:sz w:val="22"/>
        </w:rPr>
        <w:t>Loginov et al. (2020) amplían esta discusión mediante un entorno de ejecución retargetable configurado con metadatos de la plataforma destino. Su propuesta estudia la portabilidad a nivel de código binario y entorno de ejecución, y plantea una generación del runtime sin requerir el código fuente de la aplicación existente. Este antecedente se relaciona con Win2APK porque desplaza parte de la portabilidad desde el programa hacia el entorno que lo ejecuta. La diferencia está en que Win2APK debe resolver, además, la preparación del paquete Android, la incorporación de dependencias y el inicio directo de la aplicación.</w:t>
      </w:r>
    </w:p>
    <w:p>
      <w:pPr>
        <w:keepLines w:val="0"/>
        <w:jc w:val="both"/>
      </w:pPr>
      <w:r>
        <w:rPr>
          <w:rFonts w:ascii="Calibri" w:hAnsi="Calibri"/>
          <w:b w:val="0"/>
          <w:i w:val="0"/>
          <w:sz w:val="22"/>
        </w:rPr>
        <w:t>La traducción binaria introduce problemas internos que afectan la compatibilidad y el rendimiento. Li et al. (2023) presentan un método para tratar los bits de condición durante la traducción y reportan, en su escenario de evaluación con QEMU entre ARM y RISC-V, una reducción del 41 % en el número total de instrucciones y del 37 % en las instrucciones de acceso a memoria. El resultado demuestra que las diferencias entre arquitecturas no se limitan al formato del ejecutable. Sin embargo, el estudio evalúa una optimización específica del traductor y no un flujo completo de empaquetado y distribución.</w:t>
      </w:r>
    </w:p>
    <w:p>
      <w:pPr>
        <w:keepLines w:val="0"/>
        <w:jc w:val="both"/>
      </w:pPr>
      <w:r>
        <w:rPr>
          <w:rFonts w:ascii="Calibri" w:hAnsi="Calibri"/>
          <w:b w:val="0"/>
          <w:i w:val="0"/>
          <w:sz w:val="22"/>
        </w:rPr>
        <w:t>Yen et al. (2025) abordan un problema cercano al de Win2APK al estudiar aplicaciones x86 sobre hardware ARM. Su método aprovecha los flags del hardware ARM para reducir el costo de emulación de los flags x86. Los autores reportan mejoras de hasta 18 % en tareas computacionales y renderizado, además de incrementos de FPS en varios juegos de Steam. El artículo es un antecedente de conferencia indexado en Scopus y resulta útil para justificar la importancia de Box64. Su alcance, no obstante, se concentra en optimizar la traducción y no en preparar un paquete distribuible para usuarios finales.</w:t>
      </w:r>
    </w:p>
    <w:p>
      <w:pPr>
        <w:keepLines w:val="0"/>
        <w:jc w:val="both"/>
      </w:pPr>
      <w:r>
        <w:rPr>
          <w:rFonts w:ascii="Calibri" w:hAnsi="Calibri"/>
          <w:b w:val="0"/>
          <w:i w:val="0"/>
          <w:sz w:val="22"/>
        </w:rPr>
        <w:t>La versión de revista de Yen et al. (2026) presenta Cascade, un framework de traducción x86 hacia ARM64 implementado sobre Box64. El trabajo reduce la sobrecarga asociada con EFLAGS mediante análisis de vivacidad, mapeo de flags cuando las semánticas lo permiten y combinación de patrones de prueba y salto. Por su relación directa con x86/ARM64, constituye uno de los antecedentes técnicos más cercanos a la base de ejecución de Win2APK. A pesar de ello, tampoco aborda la configuración previa del entorno ni la generación de un paquete Android.</w:t>
      </w:r>
    </w:p>
    <w:p>
      <w:pPr>
        <w:keepLines w:val="0"/>
        <w:jc w:val="both"/>
      </w:pPr>
      <w:r>
        <w:rPr>
          <w:rFonts w:ascii="Calibri" w:hAnsi="Calibri"/>
          <w:b w:val="0"/>
          <w:i w:val="0"/>
          <w:sz w:val="22"/>
        </w:rPr>
        <w:t>La compatibilidad gráfica representa otra dimensión del problema. Lin et al. (2024) presentan Trinity, un sistema de emulación móvil que utiliza un espacio de proyección gráfica para reducir la comunicación síncrona entre el sistema huésped y el sistema emulado. La versión publicada en ACM Transactions on Computer Systems evalúa rendimiento, compatibilidad y confiabilidad mediante benchmarks gráficos y un conjunto amplio de aplicaciones. Reporta aproximadamente 97 % del rendimiento del hardware nativo y 99,3 % de soporte en su conjunto evaluado. Su escenario es Android emulado sobre PC o servidor, no una aplicación Windows ejecutada en un teléfono Android. Por ello, su principal aporte para Win2APK consiste en mostrar que los gráficos, el rendimiento y el diagnóstico de fallos deben formar parte de la evaluación.</w:t>
      </w:r>
    </w:p>
    <w:p>
      <w:pPr>
        <w:keepLines w:val="0"/>
        <w:jc w:val="both"/>
      </w:pPr>
      <w:r>
        <w:rPr>
          <w:rFonts w:ascii="Calibri" w:hAnsi="Calibri"/>
          <w:b w:val="0"/>
          <w:i w:val="0"/>
          <w:sz w:val="22"/>
        </w:rPr>
        <w:t>En conjunto, los estudios analizados ofrecen mecanismos para desarrollo multiplataforma, migración de software legado, traducción binaria, ejecución x86 sobre ARM y emulación gráfica. Sin embargo, dentro del corpus analizado no se identificó una propuesta orientada específicamente a automatizar el empaquetado de una aplicación Windows previamente preparada junto con su entorno de compatibilidad para generar un paquete distribuible en Android. Esta observación no afirma que no existan proyectos equivalentes fuera del corpus. Define únicamente la brecha observada en las fuentes seleccionadas.</w:t>
      </w:r>
    </w:p>
    <w:p>
      <w:pPr>
        <w:keepLines w:val="0"/>
        <w:jc w:val="both"/>
      </w:pPr>
      <w:r>
        <w:rPr>
          <w:rFonts w:ascii="Calibri" w:hAnsi="Calibri"/>
          <w:b w:val="0"/>
          <w:i w:val="0"/>
          <w:sz w:val="22"/>
        </w:rPr>
        <w:t>Win2APK pretende abordar esa brecha mediante una aplicación de escritorio tipo builder. Su aporte no consiste en desarrollar un nuevo traductor binario ni un emulador desde cero. La propuesta integra tecnologías existentes dentro de un proceso reproducible de validación, configuración, empaquetado y generación de un paquete Android. La viabilidad se evaluará con una aplicación Windows controlada, una arquitectura Android inicialmente arm64-v8a, una matriz limitada de dispositivos y métricas de construcción, instalación, inicio, interacción y errores.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Caption"/>
        <w:spacing w:before="80" w:after="80"/>
        <w:jc w:val="left"/>
      </w:pPr>
      <w:r>
        <w:rPr>
          <w:rFonts w:ascii="Calibri" w:hAnsi="Calibri"/>
          <w:b/>
          <w:i w:val="0"/>
          <w:color w:val="404040"/>
          <w:sz w:val="20"/>
        </w:rPr>
        <w:t>Tabla 2. Comparación de estudios seleccionados</w:t>
      </w:r>
    </w:p>
    <w:tbl>
      <w:tblPr>
        <w:tblW w:type="dxa" w:w="14256"/>
        <w:jc w:val="left"/>
        <w:tblLayout w:type="fixed"/>
        <w:tblLook w:firstColumn="1" w:firstRow="1" w:lastColumn="0" w:lastRow="0" w:noHBand="0" w:noVBand="1" w:val="04A0"/>
        <w:tblInd w:w="0" w:type="dxa"/>
      </w:tblPr>
      <w:tblGrid>
        <w:gridCol w:w="1400"/>
        <w:gridCol w:w="2200"/>
        <w:gridCol w:w="1600"/>
        <w:gridCol w:w="1700"/>
        <w:gridCol w:w="1500"/>
        <w:gridCol w:w="2000"/>
        <w:gridCol w:w="1900"/>
        <w:gridCol w:w="1956"/>
      </w:tblGrid>
      <w:tr>
        <w:trPr>
          <w:tblHeader w:val="true"/>
        </w:trPr>
        <w:tc>
          <w:tcPr>
            <w:tcW w:type="dxa" w:w="1400"/>
            <w:tcMar>
              <w:top w:w="80" w:type="dxa"/>
              <w:start w:w="120" w:type="dxa"/>
              <w:bottom w:w="80" w:type="dxa"/>
              <w:end w:w="120" w:type="dxa"/>
            </w:tcMar>
            <w:vAlign w:val="top"/>
            <w:shd w:fill="E8EEF5"/>
          </w:tcPr>
          <w:p>
            <w:pPr>
              <w:spacing w:after="0"/>
            </w:pPr>
            <w:r>
              <w:rPr>
                <w:rFonts w:ascii="Calibri" w:hAnsi="Calibri"/>
                <w:b/>
                <w:i w:val="0"/>
                <w:color w:val="0B2545"/>
                <w:sz w:val="14"/>
              </w:rPr>
              <w:t>Autor(es) / año</w:t>
            </w:r>
          </w:p>
        </w:tc>
        <w:tc>
          <w:tcPr>
            <w:tcW w:type="dxa" w:w="2200"/>
            <w:tcMar>
              <w:top w:w="80" w:type="dxa"/>
              <w:start w:w="120" w:type="dxa"/>
              <w:bottom w:w="80" w:type="dxa"/>
              <w:end w:w="120" w:type="dxa"/>
            </w:tcMar>
            <w:vAlign w:val="top"/>
            <w:shd w:fill="E8EEF5"/>
          </w:tcPr>
          <w:p>
            <w:pPr>
              <w:spacing w:after="0"/>
            </w:pPr>
            <w:r>
              <w:rPr>
                <w:rFonts w:ascii="Calibri" w:hAnsi="Calibri"/>
                <w:b/>
                <w:i w:val="0"/>
                <w:color w:val="0B2545"/>
                <w:sz w:val="14"/>
              </w:rPr>
              <w:t>Título del estudio</w:t>
            </w:r>
          </w:p>
        </w:tc>
        <w:tc>
          <w:tcPr>
            <w:tcW w:type="dxa" w:w="1600"/>
            <w:tcMar>
              <w:top w:w="80" w:type="dxa"/>
              <w:start w:w="120" w:type="dxa"/>
              <w:bottom w:w="80" w:type="dxa"/>
              <w:end w:w="120" w:type="dxa"/>
            </w:tcMar>
            <w:vAlign w:val="top"/>
            <w:shd w:fill="E8EEF5"/>
          </w:tcPr>
          <w:p>
            <w:pPr>
              <w:spacing w:after="0"/>
            </w:pPr>
            <w:r>
              <w:rPr>
                <w:rFonts w:ascii="Calibri" w:hAnsi="Calibri"/>
                <w:b/>
                <w:i w:val="0"/>
                <w:color w:val="0B2545"/>
                <w:sz w:val="14"/>
              </w:rPr>
              <w:t>Objetivo principal</w:t>
            </w:r>
          </w:p>
        </w:tc>
        <w:tc>
          <w:tcPr>
            <w:tcW w:type="dxa" w:w="1700"/>
            <w:tcMar>
              <w:top w:w="80" w:type="dxa"/>
              <w:start w:w="120" w:type="dxa"/>
              <w:bottom w:w="80" w:type="dxa"/>
              <w:end w:w="120" w:type="dxa"/>
            </w:tcMar>
            <w:vAlign w:val="top"/>
            <w:shd w:fill="E8EEF5"/>
          </w:tcPr>
          <w:p>
            <w:pPr>
              <w:spacing w:after="0"/>
            </w:pPr>
            <w:r>
              <w:rPr>
                <w:rFonts w:ascii="Calibri" w:hAnsi="Calibri"/>
                <w:b/>
                <w:i w:val="0"/>
                <w:color w:val="0B2545"/>
                <w:sz w:val="14"/>
              </w:rPr>
              <w:t>Metodología</w:t>
            </w:r>
          </w:p>
        </w:tc>
        <w:tc>
          <w:tcPr>
            <w:tcW w:type="dxa" w:w="1500"/>
            <w:tcMar>
              <w:top w:w="80" w:type="dxa"/>
              <w:start w:w="120" w:type="dxa"/>
              <w:bottom w:w="80" w:type="dxa"/>
              <w:end w:w="120" w:type="dxa"/>
            </w:tcMar>
            <w:vAlign w:val="top"/>
            <w:shd w:fill="E8EEF5"/>
          </w:tcPr>
          <w:p>
            <w:pPr>
              <w:spacing w:after="0"/>
            </w:pPr>
            <w:r>
              <w:rPr>
                <w:rFonts w:ascii="Calibri" w:hAnsi="Calibri"/>
                <w:b/>
                <w:i w:val="0"/>
                <w:color w:val="0B2545"/>
                <w:sz w:val="14"/>
              </w:rPr>
              <w:t>Variables analizadas</w:t>
            </w:r>
          </w:p>
        </w:tc>
        <w:tc>
          <w:tcPr>
            <w:tcW w:type="dxa" w:w="2000"/>
            <w:tcMar>
              <w:top w:w="80" w:type="dxa"/>
              <w:start w:w="120" w:type="dxa"/>
              <w:bottom w:w="80" w:type="dxa"/>
              <w:end w:w="120" w:type="dxa"/>
            </w:tcMar>
            <w:vAlign w:val="top"/>
            <w:shd w:fill="E8EEF5"/>
          </w:tcPr>
          <w:p>
            <w:pPr>
              <w:spacing w:after="0"/>
            </w:pPr>
            <w:r>
              <w:rPr>
                <w:rFonts w:ascii="Calibri" w:hAnsi="Calibri"/>
                <w:b/>
                <w:i w:val="0"/>
                <w:color w:val="0B2545"/>
                <w:sz w:val="14"/>
              </w:rPr>
              <w:t>Principales hallazgos</w:t>
            </w:r>
          </w:p>
        </w:tc>
        <w:tc>
          <w:tcPr>
            <w:tcW w:type="dxa" w:w="1900"/>
            <w:tcMar>
              <w:top w:w="80" w:type="dxa"/>
              <w:start w:w="120" w:type="dxa"/>
              <w:bottom w:w="80" w:type="dxa"/>
              <w:end w:w="120" w:type="dxa"/>
            </w:tcMar>
            <w:vAlign w:val="top"/>
            <w:shd w:fill="E8EEF5"/>
          </w:tcPr>
          <w:p>
            <w:pPr>
              <w:spacing w:after="0"/>
            </w:pPr>
            <w:r>
              <w:rPr>
                <w:rFonts w:ascii="Calibri" w:hAnsi="Calibri"/>
                <w:b/>
                <w:i w:val="0"/>
                <w:color w:val="0B2545"/>
                <w:sz w:val="14"/>
              </w:rPr>
              <w:t>Limitaciones reportadas</w:t>
            </w:r>
          </w:p>
        </w:tc>
        <w:tc>
          <w:tcPr>
            <w:tcW w:type="dxa" w:w="1956"/>
            <w:tcMar>
              <w:top w:w="80" w:type="dxa"/>
              <w:start w:w="120" w:type="dxa"/>
              <w:bottom w:w="80" w:type="dxa"/>
              <w:end w:w="120" w:type="dxa"/>
            </w:tcMar>
            <w:vAlign w:val="top"/>
            <w:shd w:fill="E8EEF5"/>
          </w:tcPr>
          <w:p>
            <w:pPr>
              <w:spacing w:after="0"/>
            </w:pPr>
            <w:r>
              <w:rPr>
                <w:rFonts w:ascii="Calibri" w:hAnsi="Calibri"/>
                <w:b/>
                <w:i w:val="0"/>
                <w:color w:val="0B2545"/>
                <w:sz w:val="14"/>
              </w:rPr>
              <w:t>Relación con Win2APK</w:t>
            </w:r>
          </w:p>
        </w:tc>
      </w:tr>
      <w:tr>
        <w:tc>
          <w:tcPr>
            <w:tcW w:type="dxa" w:w="1400"/>
          </w:tcPr>
          <w:p>
            <w:pPr>
              <w:spacing w:after="0" w:line="240" w:lineRule="auto"/>
            </w:pPr>
            <w:r>
              <w:rPr>
                <w:rFonts w:ascii="Calibri" w:hAnsi="Calibri"/>
                <w:b w:val="0"/>
                <w:i w:val="0"/>
                <w:color w:val="202020"/>
                <w:sz w:val="13"/>
              </w:rPr>
              <w:t>Blanco y Lucrédio</w:t>
              <w:br/>
              <w:t>(2021)</w:t>
            </w:r>
          </w:p>
        </w:tc>
        <w:tc>
          <w:tcPr>
            <w:tcW w:type="dxa" w:w="2200"/>
          </w:tcPr>
          <w:p>
            <w:pPr>
              <w:spacing w:after="0" w:line="240" w:lineRule="auto"/>
            </w:pPr>
            <w:r>
              <w:rPr>
                <w:rFonts w:ascii="Calibri" w:hAnsi="Calibri"/>
                <w:b w:val="0"/>
                <w:i w:val="0"/>
                <w:color w:val="202020"/>
                <w:sz w:val="13"/>
              </w:rPr>
              <w:t>A holistic approach for cross-platform software development</w:t>
            </w:r>
          </w:p>
        </w:tc>
        <w:tc>
          <w:tcPr>
            <w:tcW w:type="dxa" w:w="1600"/>
          </w:tcPr>
          <w:p>
            <w:pPr>
              <w:spacing w:after="0" w:line="240" w:lineRule="auto"/>
            </w:pPr>
            <w:r>
              <w:rPr>
                <w:rFonts w:ascii="Calibri" w:hAnsi="Calibri"/>
                <w:b w:val="0"/>
                <w:i w:val="0"/>
                <w:color w:val="202020"/>
                <w:sz w:val="13"/>
              </w:rPr>
              <w:t>Crear un enfoque general para desarrollo multiplataforma.</w:t>
            </w:r>
          </w:p>
        </w:tc>
        <w:tc>
          <w:tcPr>
            <w:tcW w:type="dxa" w:w="1700"/>
          </w:tcPr>
          <w:p>
            <w:pPr>
              <w:spacing w:after="0" w:line="240" w:lineRule="auto"/>
            </w:pPr>
            <w:r>
              <w:rPr>
                <w:rFonts w:ascii="Calibri" w:hAnsi="Calibri"/>
                <w:b w:val="0"/>
                <w:i w:val="0"/>
                <w:color w:val="202020"/>
                <w:sz w:val="13"/>
              </w:rPr>
              <w:t>Lenguaje de propósito general, transformaciones automáticas y pruebas con desarrolladores.</w:t>
            </w:r>
          </w:p>
        </w:tc>
        <w:tc>
          <w:tcPr>
            <w:tcW w:type="dxa" w:w="1500"/>
          </w:tcPr>
          <w:p>
            <w:pPr>
              <w:spacing w:after="0" w:line="240" w:lineRule="auto"/>
            </w:pPr>
            <w:r>
              <w:rPr>
                <w:rFonts w:ascii="Calibri" w:hAnsi="Calibri"/>
                <w:b w:val="0"/>
                <w:i w:val="0"/>
                <w:color w:val="202020"/>
                <w:sz w:val="13"/>
              </w:rPr>
              <w:t>Reutilización, extensibilidad y experiencia de desarrollo.</w:t>
            </w:r>
          </w:p>
        </w:tc>
        <w:tc>
          <w:tcPr>
            <w:tcW w:type="dxa" w:w="2000"/>
          </w:tcPr>
          <w:p>
            <w:pPr>
              <w:spacing w:after="0" w:line="240" w:lineRule="auto"/>
            </w:pPr>
            <w:r>
              <w:rPr>
                <w:rFonts w:ascii="Calibri" w:hAnsi="Calibri"/>
                <w:b w:val="0"/>
                <w:i w:val="0"/>
                <w:color w:val="202020"/>
                <w:sz w:val="13"/>
              </w:rPr>
              <w:t>Evaluaciones con sistema recreado, usuarios expertos y principiantes. Apoya el uso de un entorno común.</w:t>
            </w:r>
          </w:p>
        </w:tc>
        <w:tc>
          <w:tcPr>
            <w:tcW w:type="dxa" w:w="1900"/>
          </w:tcPr>
          <w:p>
            <w:pPr>
              <w:spacing w:after="0" w:line="240" w:lineRule="auto"/>
            </w:pPr>
            <w:r>
              <w:rPr>
                <w:rFonts w:ascii="Calibri" w:hAnsi="Calibri"/>
                <w:b w:val="0"/>
                <w:i w:val="0"/>
                <w:color w:val="202020"/>
                <w:sz w:val="13"/>
              </w:rPr>
              <w:t>Parte del desarrollo del software y no de un binario Windows ya compilado.</w:t>
            </w:r>
          </w:p>
        </w:tc>
        <w:tc>
          <w:tcPr>
            <w:tcW w:type="dxa" w:w="1956"/>
          </w:tcPr>
          <w:p>
            <w:pPr>
              <w:spacing w:after="0" w:line="240" w:lineRule="auto"/>
            </w:pPr>
            <w:r>
              <w:rPr>
                <w:rFonts w:ascii="Calibri" w:hAnsi="Calibri"/>
                <w:b w:val="0"/>
                <w:i w:val="0"/>
                <w:color w:val="202020"/>
                <w:sz w:val="13"/>
              </w:rPr>
              <w:t>Contrasta el desarrollo multiplataforma con el empaquetado de aplicaciones existentes.</w:t>
            </w:r>
          </w:p>
        </w:tc>
      </w:tr>
      <w:tr>
        <w:tc>
          <w:tcPr>
            <w:tcW w:type="dxa" w:w="1400"/>
          </w:tcPr>
          <w:p>
            <w:pPr>
              <w:spacing w:after="0" w:line="240" w:lineRule="auto"/>
            </w:pPr>
            <w:r>
              <w:rPr>
                <w:rFonts w:ascii="Calibri" w:hAnsi="Calibri"/>
                <w:b w:val="0"/>
                <w:i w:val="0"/>
                <w:color w:val="202020"/>
                <w:sz w:val="13"/>
              </w:rPr>
              <w:t>Yarza et al.</w:t>
              <w:br/>
              <w:t>(2021)</w:t>
            </w:r>
          </w:p>
        </w:tc>
        <w:tc>
          <w:tcPr>
            <w:tcW w:type="dxa" w:w="2200"/>
          </w:tcPr>
          <w:p>
            <w:pPr>
              <w:spacing w:after="0" w:line="240" w:lineRule="auto"/>
            </w:pPr>
            <w:r>
              <w:rPr>
                <w:rFonts w:ascii="Calibri" w:hAnsi="Calibri"/>
                <w:b w:val="0"/>
                <w:i w:val="0"/>
                <w:color w:val="202020"/>
                <w:sz w:val="13"/>
              </w:rPr>
              <w:t>Legacy software migration based on timing contract aware real-time execution environments</w:t>
            </w:r>
          </w:p>
        </w:tc>
        <w:tc>
          <w:tcPr>
            <w:tcW w:type="dxa" w:w="1600"/>
          </w:tcPr>
          <w:p>
            <w:pPr>
              <w:spacing w:after="0" w:line="240" w:lineRule="auto"/>
            </w:pPr>
            <w:r>
              <w:rPr>
                <w:rFonts w:ascii="Calibri" w:hAnsi="Calibri"/>
                <w:b w:val="0"/>
                <w:i w:val="0"/>
                <w:color w:val="202020"/>
                <w:sz w:val="13"/>
              </w:rPr>
              <w:t>Migrar software legado conservando su comportamiento temporal.</w:t>
            </w:r>
          </w:p>
        </w:tc>
        <w:tc>
          <w:tcPr>
            <w:tcW w:type="dxa" w:w="1700"/>
          </w:tcPr>
          <w:p>
            <w:pPr>
              <w:spacing w:after="0" w:line="240" w:lineRule="auto"/>
            </w:pPr>
            <w:r>
              <w:rPr>
                <w:rFonts w:ascii="Calibri" w:hAnsi="Calibri"/>
                <w:b w:val="0"/>
                <w:i w:val="0"/>
                <w:color w:val="202020"/>
                <w:sz w:val="13"/>
              </w:rPr>
              <w:t>Traducción binaria y contratos formales de tiempo en sistemas embebidos.</w:t>
            </w:r>
          </w:p>
        </w:tc>
        <w:tc>
          <w:tcPr>
            <w:tcW w:type="dxa" w:w="1500"/>
          </w:tcPr>
          <w:p>
            <w:pPr>
              <w:spacing w:after="0" w:line="240" w:lineRule="auto"/>
            </w:pPr>
            <w:r>
              <w:rPr>
                <w:rFonts w:ascii="Calibri" w:hAnsi="Calibri"/>
                <w:b w:val="0"/>
                <w:i w:val="0"/>
                <w:color w:val="202020"/>
                <w:sz w:val="13"/>
              </w:rPr>
              <w:t>Tiempo de ejecución, comportamiento funcional y arquitecturas origen/destino.</w:t>
            </w:r>
          </w:p>
        </w:tc>
        <w:tc>
          <w:tcPr>
            <w:tcW w:type="dxa" w:w="2000"/>
          </w:tcPr>
          <w:p>
            <w:pPr>
              <w:spacing w:after="0" w:line="240" w:lineRule="auto"/>
            </w:pPr>
            <w:r>
              <w:rPr>
                <w:rFonts w:ascii="Calibri" w:hAnsi="Calibri"/>
                <w:b w:val="0"/>
                <w:i w:val="0"/>
                <w:color w:val="202020"/>
                <w:sz w:val="13"/>
              </w:rPr>
              <w:t>Propone una ruta para reutilizar software legado en hardware diferente.</w:t>
            </w:r>
          </w:p>
        </w:tc>
        <w:tc>
          <w:tcPr>
            <w:tcW w:type="dxa" w:w="1900"/>
          </w:tcPr>
          <w:p>
            <w:pPr>
              <w:spacing w:after="0" w:line="240" w:lineRule="auto"/>
            </w:pPr>
            <w:r>
              <w:rPr>
                <w:rFonts w:ascii="Calibri" w:hAnsi="Calibri"/>
                <w:b w:val="0"/>
                <w:i w:val="0"/>
                <w:color w:val="202020"/>
                <w:sz w:val="13"/>
              </w:rPr>
              <w:t>Se concentra en sistemas embebidos de tiempo real.</w:t>
            </w:r>
          </w:p>
        </w:tc>
        <w:tc>
          <w:tcPr>
            <w:tcW w:type="dxa" w:w="1956"/>
          </w:tcPr>
          <w:p>
            <w:pPr>
              <w:spacing w:after="0" w:line="240" w:lineRule="auto"/>
            </w:pPr>
            <w:r>
              <w:rPr>
                <w:rFonts w:ascii="Calibri" w:hAnsi="Calibri"/>
                <w:b w:val="0"/>
                <w:i w:val="0"/>
                <w:color w:val="202020"/>
                <w:sz w:val="13"/>
              </w:rPr>
              <w:t>Fundamenta la reutilización de software sin exigir una reescritura completa.</w:t>
            </w:r>
          </w:p>
        </w:tc>
      </w:tr>
      <w:tr>
        <w:tc>
          <w:tcPr>
            <w:tcW w:type="dxa" w:w="1400"/>
          </w:tcPr>
          <w:p>
            <w:pPr>
              <w:spacing w:after="0" w:line="240" w:lineRule="auto"/>
            </w:pPr>
            <w:r>
              <w:rPr>
                <w:rFonts w:ascii="Calibri" w:hAnsi="Calibri"/>
                <w:b w:val="0"/>
                <w:i w:val="0"/>
                <w:color w:val="202020"/>
                <w:sz w:val="13"/>
              </w:rPr>
              <w:t>Li et al.</w:t>
              <w:br/>
              <w:t>(2023)</w:t>
            </w:r>
          </w:p>
        </w:tc>
        <w:tc>
          <w:tcPr>
            <w:tcW w:type="dxa" w:w="2200"/>
          </w:tcPr>
          <w:p>
            <w:pPr>
              <w:spacing w:after="0" w:line="240" w:lineRule="auto"/>
            </w:pPr>
            <w:r>
              <w:rPr>
                <w:rFonts w:ascii="Calibri" w:hAnsi="Calibri"/>
                <w:b w:val="0"/>
                <w:i w:val="0"/>
                <w:color w:val="202020"/>
                <w:sz w:val="13"/>
              </w:rPr>
              <w:t>A Hardware Non-Invasive Mapping Method for Condition Bits in Binary Translation</w:t>
            </w:r>
          </w:p>
        </w:tc>
        <w:tc>
          <w:tcPr>
            <w:tcW w:type="dxa" w:w="1600"/>
          </w:tcPr>
          <w:p>
            <w:pPr>
              <w:spacing w:after="0" w:line="240" w:lineRule="auto"/>
            </w:pPr>
            <w:r>
              <w:rPr>
                <w:rFonts w:ascii="Calibri" w:hAnsi="Calibri"/>
                <w:b w:val="0"/>
                <w:i w:val="0"/>
                <w:color w:val="202020"/>
                <w:sz w:val="13"/>
              </w:rPr>
              <w:t>Mejorar la eficiencia de la traducción de bits de condición.</w:t>
            </w:r>
          </w:p>
        </w:tc>
        <w:tc>
          <w:tcPr>
            <w:tcW w:type="dxa" w:w="1700"/>
          </w:tcPr>
          <w:p>
            <w:pPr>
              <w:spacing w:after="0" w:line="240" w:lineRule="auto"/>
            </w:pPr>
            <w:r>
              <w:rPr>
                <w:rFonts w:ascii="Calibri" w:hAnsi="Calibri"/>
                <w:b w:val="0"/>
                <w:i w:val="0"/>
                <w:color w:val="202020"/>
                <w:sz w:val="13"/>
              </w:rPr>
              <w:t>Método HNIMCB implementado y evaluado mediante QEMU y benchmarks.</w:t>
            </w:r>
          </w:p>
        </w:tc>
        <w:tc>
          <w:tcPr>
            <w:tcW w:type="dxa" w:w="1500"/>
          </w:tcPr>
          <w:p>
            <w:pPr>
              <w:spacing w:after="0" w:line="240" w:lineRule="auto"/>
            </w:pPr>
            <w:r>
              <w:rPr>
                <w:rFonts w:ascii="Calibri" w:hAnsi="Calibri"/>
                <w:b w:val="0"/>
                <w:i w:val="0"/>
                <w:color w:val="202020"/>
                <w:sz w:val="13"/>
              </w:rPr>
              <w:t>Instrucciones traducidas, accesos a memoria y sobrecarga.</w:t>
            </w:r>
          </w:p>
        </w:tc>
        <w:tc>
          <w:tcPr>
            <w:tcW w:type="dxa" w:w="2000"/>
          </w:tcPr>
          <w:p>
            <w:pPr>
              <w:spacing w:after="0" w:line="240" w:lineRule="auto"/>
            </w:pPr>
            <w:r>
              <w:rPr>
                <w:rFonts w:ascii="Calibri" w:hAnsi="Calibri"/>
                <w:b w:val="0"/>
                <w:i w:val="0"/>
                <w:color w:val="202020"/>
                <w:sz w:val="13"/>
              </w:rPr>
              <w:t>Reporta 41 % menos instrucciones y 37 % menos instrucciones de acceso a memoria en su escenario ARM/RISC-V.</w:t>
            </w:r>
          </w:p>
        </w:tc>
        <w:tc>
          <w:tcPr>
            <w:tcW w:type="dxa" w:w="1900"/>
          </w:tcPr>
          <w:p>
            <w:pPr>
              <w:spacing w:after="0" w:line="240" w:lineRule="auto"/>
            </w:pPr>
            <w:r>
              <w:rPr>
                <w:rFonts w:ascii="Calibri" w:hAnsi="Calibri"/>
                <w:b w:val="0"/>
                <w:i w:val="0"/>
                <w:color w:val="202020"/>
                <w:sz w:val="13"/>
              </w:rPr>
              <w:t>No estudia Windows sobre Android ni un flujo de distribución de aplicaciones.</w:t>
            </w:r>
          </w:p>
        </w:tc>
        <w:tc>
          <w:tcPr>
            <w:tcW w:type="dxa" w:w="1956"/>
          </w:tcPr>
          <w:p>
            <w:pPr>
              <w:spacing w:after="0" w:line="240" w:lineRule="auto"/>
            </w:pPr>
            <w:r>
              <w:rPr>
                <w:rFonts w:ascii="Calibri" w:hAnsi="Calibri"/>
                <w:b w:val="0"/>
                <w:i w:val="0"/>
                <w:color w:val="202020"/>
                <w:sz w:val="13"/>
              </w:rPr>
              <w:t>Explica una dificultad interna del runtime que Win2APK reutiliza.</w:t>
            </w:r>
          </w:p>
        </w:tc>
      </w:tr>
      <w:tr>
        <w:tc>
          <w:tcPr>
            <w:tcW w:type="dxa" w:w="1400"/>
          </w:tcPr>
          <w:p>
            <w:pPr>
              <w:spacing w:after="0" w:line="240" w:lineRule="auto"/>
            </w:pPr>
            <w:r>
              <w:rPr>
                <w:rFonts w:ascii="Calibri" w:hAnsi="Calibri"/>
                <w:b w:val="0"/>
                <w:i w:val="0"/>
                <w:color w:val="202020"/>
                <w:sz w:val="13"/>
              </w:rPr>
              <w:t>Lin et al.</w:t>
              <w:br/>
              <w:t>(2024)</w:t>
            </w:r>
          </w:p>
        </w:tc>
        <w:tc>
          <w:tcPr>
            <w:tcW w:type="dxa" w:w="2200"/>
          </w:tcPr>
          <w:p>
            <w:pPr>
              <w:spacing w:after="0" w:line="240" w:lineRule="auto"/>
            </w:pPr>
            <w:r>
              <w:rPr>
                <w:rFonts w:ascii="Calibri" w:hAnsi="Calibri"/>
                <w:b w:val="0"/>
                <w:i w:val="0"/>
                <w:color w:val="202020"/>
                <w:sz w:val="13"/>
              </w:rPr>
              <w:t>Trinity: High-Performance and Reliable Mobile Emulation through Graphics Projection</w:t>
            </w:r>
          </w:p>
        </w:tc>
        <w:tc>
          <w:tcPr>
            <w:tcW w:type="dxa" w:w="1600"/>
          </w:tcPr>
          <w:p>
            <w:pPr>
              <w:spacing w:after="0" w:line="240" w:lineRule="auto"/>
            </w:pPr>
            <w:r>
              <w:rPr>
                <w:rFonts w:ascii="Calibri" w:hAnsi="Calibri"/>
                <w:b w:val="0"/>
                <w:i w:val="0"/>
                <w:color w:val="202020"/>
                <w:sz w:val="13"/>
              </w:rPr>
              <w:t>Mejorar rendimiento, compatibilidad y confiabilidad en emulación móvil.</w:t>
            </w:r>
          </w:p>
        </w:tc>
        <w:tc>
          <w:tcPr>
            <w:tcW w:type="dxa" w:w="1700"/>
          </w:tcPr>
          <w:p>
            <w:pPr>
              <w:spacing w:after="0" w:line="240" w:lineRule="auto"/>
            </w:pPr>
            <w:r>
              <w:rPr>
                <w:rFonts w:ascii="Calibri" w:hAnsi="Calibri"/>
                <w:b w:val="0"/>
                <w:i w:val="0"/>
                <w:color w:val="202020"/>
                <w:sz w:val="13"/>
              </w:rPr>
              <w:t>Implementación de emulador, benchmarks gráficos y evaluación con aplicaciones.</w:t>
            </w:r>
          </w:p>
        </w:tc>
        <w:tc>
          <w:tcPr>
            <w:tcW w:type="dxa" w:w="1500"/>
          </w:tcPr>
          <w:p>
            <w:pPr>
              <w:spacing w:after="0" w:line="240" w:lineRule="auto"/>
            </w:pPr>
            <w:r>
              <w:rPr>
                <w:rFonts w:ascii="Calibri" w:hAnsi="Calibri"/>
                <w:b w:val="0"/>
                <w:i w:val="0"/>
                <w:color w:val="202020"/>
                <w:sz w:val="13"/>
              </w:rPr>
              <w:t>Rendimiento, soporte de aplicaciones, llamadas gráficas y fallos.</w:t>
            </w:r>
          </w:p>
        </w:tc>
        <w:tc>
          <w:tcPr>
            <w:tcW w:type="dxa" w:w="2000"/>
          </w:tcPr>
          <w:p>
            <w:pPr>
              <w:spacing w:after="0" w:line="240" w:lineRule="auto"/>
            </w:pPr>
            <w:r>
              <w:rPr>
                <w:rFonts w:ascii="Calibri" w:hAnsi="Calibri"/>
                <w:b w:val="0"/>
                <w:i w:val="0"/>
                <w:color w:val="202020"/>
                <w:sz w:val="13"/>
              </w:rPr>
              <w:t>La versión de revista reporta cerca de 97 % de rendimiento nativo y 99,3 % de soporte en su conjunto evaluado.</w:t>
            </w:r>
          </w:p>
        </w:tc>
        <w:tc>
          <w:tcPr>
            <w:tcW w:type="dxa" w:w="1900"/>
          </w:tcPr>
          <w:p>
            <w:pPr>
              <w:spacing w:after="0" w:line="240" w:lineRule="auto"/>
            </w:pPr>
            <w:r>
              <w:rPr>
                <w:rFonts w:ascii="Calibri" w:hAnsi="Calibri"/>
                <w:b w:val="0"/>
                <w:i w:val="0"/>
                <w:color w:val="202020"/>
                <w:sz w:val="13"/>
              </w:rPr>
              <w:t>Emula Android sobre PC o servidor, no aplicaciones Windows sobre teléfonos Android.</w:t>
            </w:r>
          </w:p>
        </w:tc>
        <w:tc>
          <w:tcPr>
            <w:tcW w:type="dxa" w:w="1956"/>
          </w:tcPr>
          <w:p>
            <w:pPr>
              <w:spacing w:after="0" w:line="240" w:lineRule="auto"/>
            </w:pPr>
            <w:r>
              <w:rPr>
                <w:rFonts w:ascii="Calibri" w:hAnsi="Calibri"/>
                <w:b w:val="0"/>
                <w:i w:val="0"/>
                <w:color w:val="202020"/>
                <w:sz w:val="13"/>
              </w:rPr>
              <w:t>Evidencia la importancia de gráficos, rendimiento y diagnóstico.</w:t>
            </w:r>
          </w:p>
        </w:tc>
      </w:tr>
      <w:tr>
        <w:tc>
          <w:tcPr>
            <w:tcW w:type="dxa" w:w="1400"/>
          </w:tcPr>
          <w:p>
            <w:pPr>
              <w:spacing w:after="0" w:line="240" w:lineRule="auto"/>
            </w:pPr>
            <w:r>
              <w:rPr>
                <w:rFonts w:ascii="Calibri" w:hAnsi="Calibri"/>
                <w:b w:val="0"/>
                <w:i w:val="0"/>
                <w:color w:val="202020"/>
                <w:sz w:val="13"/>
              </w:rPr>
              <w:t>Yen et al.</w:t>
              <w:br/>
              <w:t>(2025)</w:t>
            </w:r>
          </w:p>
        </w:tc>
        <w:tc>
          <w:tcPr>
            <w:tcW w:type="dxa" w:w="2200"/>
          </w:tcPr>
          <w:p>
            <w:pPr>
              <w:spacing w:after="0" w:line="240" w:lineRule="auto"/>
            </w:pPr>
            <w:r>
              <w:rPr>
                <w:rFonts w:ascii="Calibri" w:hAnsi="Calibri"/>
                <w:b w:val="0"/>
                <w:i w:val="0"/>
                <w:color w:val="202020"/>
                <w:sz w:val="13"/>
              </w:rPr>
              <w:t>ARMing x86 Games: Accelerating Binary Translation Using Software-Only Validated Flag Speculation</w:t>
            </w:r>
          </w:p>
        </w:tc>
        <w:tc>
          <w:tcPr>
            <w:tcW w:type="dxa" w:w="1600"/>
          </w:tcPr>
          <w:p>
            <w:pPr>
              <w:spacing w:after="0" w:line="240" w:lineRule="auto"/>
            </w:pPr>
            <w:r>
              <w:rPr>
                <w:rFonts w:ascii="Calibri" w:hAnsi="Calibri"/>
                <w:b w:val="0"/>
                <w:i w:val="0"/>
                <w:color w:val="202020"/>
                <w:sz w:val="13"/>
              </w:rPr>
              <w:t>Acelerar la traducción de aplicaciones x86 para hardware ARM.</w:t>
            </w:r>
          </w:p>
        </w:tc>
        <w:tc>
          <w:tcPr>
            <w:tcW w:type="dxa" w:w="1700"/>
          </w:tcPr>
          <w:p>
            <w:pPr>
              <w:spacing w:after="0" w:line="240" w:lineRule="auto"/>
            </w:pPr>
            <w:r>
              <w:rPr>
                <w:rFonts w:ascii="Calibri" w:hAnsi="Calibri"/>
                <w:b w:val="0"/>
                <w:i w:val="0"/>
                <w:color w:val="202020"/>
                <w:sz w:val="13"/>
              </w:rPr>
              <w:t>Optimización de flags y pruebas con tareas computacionales y juegos. Estudio de conferencia indexado en Scopus.</w:t>
            </w:r>
          </w:p>
        </w:tc>
        <w:tc>
          <w:tcPr>
            <w:tcW w:type="dxa" w:w="1500"/>
          </w:tcPr>
          <w:p>
            <w:pPr>
              <w:spacing w:after="0" w:line="240" w:lineRule="auto"/>
            </w:pPr>
            <w:r>
              <w:rPr>
                <w:rFonts w:ascii="Calibri" w:hAnsi="Calibri"/>
                <w:b w:val="0"/>
                <w:i w:val="0"/>
                <w:color w:val="202020"/>
                <w:sz w:val="13"/>
              </w:rPr>
              <w:t>Sobrecarga de traducción, rendimiento computacional y FPS.</w:t>
            </w:r>
          </w:p>
        </w:tc>
        <w:tc>
          <w:tcPr>
            <w:tcW w:type="dxa" w:w="2000"/>
          </w:tcPr>
          <w:p>
            <w:pPr>
              <w:spacing w:after="0" w:line="240" w:lineRule="auto"/>
            </w:pPr>
            <w:r>
              <w:rPr>
                <w:rFonts w:ascii="Calibri" w:hAnsi="Calibri"/>
                <w:b w:val="0"/>
                <w:i w:val="0"/>
                <w:color w:val="202020"/>
                <w:sz w:val="13"/>
              </w:rPr>
              <w:t>Reporta mejoras de hasta 18 % y aumentos de FPS entre aproximadamente 7 % y más de 12 % en juegos evaluados.</w:t>
            </w:r>
          </w:p>
        </w:tc>
        <w:tc>
          <w:tcPr>
            <w:tcW w:type="dxa" w:w="1900"/>
          </w:tcPr>
          <w:p>
            <w:pPr>
              <w:spacing w:after="0" w:line="240" w:lineRule="auto"/>
            </w:pPr>
            <w:r>
              <w:rPr>
                <w:rFonts w:ascii="Calibri" w:hAnsi="Calibri"/>
                <w:b w:val="0"/>
                <w:i w:val="0"/>
                <w:color w:val="202020"/>
                <w:sz w:val="13"/>
              </w:rPr>
              <w:t>Optimiza la traducción, pero no automatiza el empaquetado Android.</w:t>
            </w:r>
          </w:p>
        </w:tc>
        <w:tc>
          <w:tcPr>
            <w:tcW w:type="dxa" w:w="1956"/>
          </w:tcPr>
          <w:p>
            <w:pPr>
              <w:spacing w:after="0" w:line="240" w:lineRule="auto"/>
            </w:pPr>
            <w:r>
              <w:rPr>
                <w:rFonts w:ascii="Calibri" w:hAnsi="Calibri"/>
                <w:b w:val="0"/>
                <w:i w:val="0"/>
                <w:color w:val="202020"/>
                <w:sz w:val="13"/>
              </w:rPr>
              <w:t>Refuerza la relevancia de Box64 y la traducción x86 hacia ARM.</w:t>
            </w:r>
          </w:p>
        </w:tc>
      </w:tr>
      <w:tr>
        <w:tc>
          <w:tcPr>
            <w:tcW w:type="dxa" w:w="1400"/>
          </w:tcPr>
          <w:p>
            <w:pPr>
              <w:spacing w:after="0" w:line="240" w:lineRule="auto"/>
            </w:pPr>
            <w:r>
              <w:rPr>
                <w:rFonts w:ascii="Calibri" w:hAnsi="Calibri"/>
                <w:b w:val="0"/>
                <w:i w:val="0"/>
                <w:color w:val="202020"/>
                <w:sz w:val="13"/>
              </w:rPr>
              <w:t>Yen et al.</w:t>
              <w:br/>
              <w:t>(2026)</w:t>
            </w:r>
          </w:p>
        </w:tc>
        <w:tc>
          <w:tcPr>
            <w:tcW w:type="dxa" w:w="2200"/>
          </w:tcPr>
          <w:p>
            <w:pPr>
              <w:spacing w:after="0" w:line="240" w:lineRule="auto"/>
            </w:pPr>
            <w:r>
              <w:rPr>
                <w:rFonts w:ascii="Calibri" w:hAnsi="Calibri"/>
                <w:b w:val="0"/>
                <w:i w:val="0"/>
                <w:color w:val="202020"/>
                <w:sz w:val="13"/>
              </w:rPr>
              <w:t>RISCing it All: Accelerating Binary Translation Using Software-Only Validated Flag Speculation</w:t>
            </w:r>
          </w:p>
        </w:tc>
        <w:tc>
          <w:tcPr>
            <w:tcW w:type="dxa" w:w="1600"/>
          </w:tcPr>
          <w:p>
            <w:pPr>
              <w:spacing w:after="0" w:line="240" w:lineRule="auto"/>
            </w:pPr>
            <w:r>
              <w:rPr>
                <w:rFonts w:ascii="Calibri" w:hAnsi="Calibri"/>
                <w:b w:val="0"/>
                <w:i w:val="0"/>
                <w:color w:val="202020"/>
                <w:sz w:val="13"/>
              </w:rPr>
              <w:t>Reducir la sobrecarga de flags en traducción x86 hacia ARM64.</w:t>
            </w:r>
          </w:p>
        </w:tc>
        <w:tc>
          <w:tcPr>
            <w:tcW w:type="dxa" w:w="1700"/>
          </w:tcPr>
          <w:p>
            <w:pPr>
              <w:spacing w:after="0" w:line="240" w:lineRule="auto"/>
            </w:pPr>
            <w:r>
              <w:rPr>
                <w:rFonts w:ascii="Calibri" w:hAnsi="Calibri"/>
                <w:b w:val="0"/>
                <w:i w:val="0"/>
                <w:color w:val="202020"/>
                <w:sz w:val="13"/>
              </w:rPr>
              <w:t>Framework Cascade sobre Box64, análisis de vivacidad y evaluación con benchmarks.</w:t>
            </w:r>
          </w:p>
        </w:tc>
        <w:tc>
          <w:tcPr>
            <w:tcW w:type="dxa" w:w="1500"/>
          </w:tcPr>
          <w:p>
            <w:pPr>
              <w:spacing w:after="0" w:line="240" w:lineRule="auto"/>
            </w:pPr>
            <w:r>
              <w:rPr>
                <w:rFonts w:ascii="Calibri" w:hAnsi="Calibri"/>
                <w:b w:val="0"/>
                <w:i w:val="0"/>
                <w:color w:val="202020"/>
                <w:sz w:val="13"/>
              </w:rPr>
              <w:t>Instrucciones, rendimiento de CPU, rendimiento gráfico y overhead de flags.</w:t>
            </w:r>
          </w:p>
        </w:tc>
        <w:tc>
          <w:tcPr>
            <w:tcW w:type="dxa" w:w="2000"/>
          </w:tcPr>
          <w:p>
            <w:pPr>
              <w:spacing w:after="0" w:line="240" w:lineRule="auto"/>
            </w:pPr>
            <w:r>
              <w:rPr>
                <w:rFonts w:ascii="Calibri" w:hAnsi="Calibri"/>
                <w:b w:val="0"/>
                <w:i w:val="0"/>
                <w:color w:val="202020"/>
                <w:sz w:val="13"/>
              </w:rPr>
              <w:t>Presenta optimizaciones directas para x86/ARM64 y es el antecedente de revista más cercano al problema de arquitectura.</w:t>
            </w:r>
          </w:p>
        </w:tc>
        <w:tc>
          <w:tcPr>
            <w:tcW w:type="dxa" w:w="1900"/>
          </w:tcPr>
          <w:p>
            <w:pPr>
              <w:spacing w:after="0" w:line="240" w:lineRule="auto"/>
            </w:pPr>
            <w:r>
              <w:rPr>
                <w:rFonts w:ascii="Calibri" w:hAnsi="Calibri"/>
                <w:b w:val="0"/>
                <w:i w:val="0"/>
                <w:color w:val="202020"/>
                <w:sz w:val="13"/>
              </w:rPr>
              <w:t>No resuelve la configuración, el empaquetado ni la distribución del runtime.</w:t>
            </w:r>
          </w:p>
        </w:tc>
        <w:tc>
          <w:tcPr>
            <w:tcW w:type="dxa" w:w="1956"/>
          </w:tcPr>
          <w:p>
            <w:pPr>
              <w:spacing w:after="0" w:line="240" w:lineRule="auto"/>
            </w:pPr>
            <w:r>
              <w:rPr>
                <w:rFonts w:ascii="Calibri" w:hAnsi="Calibri"/>
                <w:b w:val="0"/>
                <w:i w:val="0"/>
                <w:color w:val="202020"/>
                <w:sz w:val="13"/>
              </w:rPr>
              <w:t>Sustenta la selección de Box64 como tecnología habilitadora, no como aporte propio.</w:t>
            </w:r>
          </w:p>
        </w:tc>
      </w:tr>
    </w:tbl>
    <w:p>
      <w:pPr>
        <w:pStyle w:val="Caption"/>
        <w:spacing w:before="80" w:after="80"/>
        <w:jc w:val="left"/>
      </w:pPr>
      <w:r>
        <w:rPr>
          <w:rFonts w:ascii="Calibri" w:hAnsi="Calibri"/>
          <w:b/>
          <w:i w:val="0"/>
          <w:color w:val="404040"/>
          <w:sz w:val="20"/>
        </w:rPr>
        <w:t>Fuentes bibliográficas base</w:t>
      </w:r>
    </w:p>
    <w:p>
      <w:pPr>
        <w:spacing w:after="80" w:line="264" w:lineRule="auto"/>
        <w:ind w:left="360" w:hanging="360"/>
      </w:pPr>
      <w:r>
        <w:rPr>
          <w:rFonts w:ascii="Calibri" w:hAnsi="Calibri"/>
          <w:b w:val="0"/>
          <w:i w:val="0"/>
          <w:sz w:val="16"/>
        </w:rPr>
        <w:t>Page, M. J., et al. (2021). The PRISMA 2020 statement: an updated guideline for reporting systematic reviews. BMJ, 372, n71. https://doi.org/10.1136/bmj.n71</w:t>
      </w:r>
    </w:p>
    <w:p>
      <w:pPr>
        <w:spacing w:after="80" w:line="264" w:lineRule="auto"/>
        <w:ind w:left="360" w:hanging="360"/>
      </w:pPr>
      <w:r>
        <w:rPr>
          <w:rFonts w:ascii="Calibri" w:hAnsi="Calibri"/>
          <w:b w:val="0"/>
          <w:i w:val="0"/>
          <w:sz w:val="16"/>
        </w:rPr>
        <w:t>Blanco, J. Z., y Lucrédio, D. (2021). A holistic approach for cross-platform software development. Journal of Systems and Software, 179, 110985. https://doi.org/10.1016/j.jss.2021.110985</w:t>
      </w:r>
    </w:p>
    <w:p>
      <w:pPr>
        <w:spacing w:after="80" w:line="264" w:lineRule="auto"/>
        <w:ind w:left="360" w:hanging="360"/>
      </w:pPr>
      <w:r>
        <w:rPr>
          <w:rFonts w:ascii="Calibri" w:hAnsi="Calibri"/>
          <w:b w:val="0"/>
          <w:i w:val="0"/>
          <w:sz w:val="16"/>
        </w:rPr>
        <w:t>Yarza, I., et al. (2021). Legacy software migration based on timing contract aware real-time execution environments. Journal of Systems and Software, 172, 110849. https://doi.org/10.1016/j.jss.2020.110849</w:t>
      </w:r>
    </w:p>
    <w:p>
      <w:pPr>
        <w:spacing w:after="80" w:line="264" w:lineRule="auto"/>
        <w:ind w:left="360" w:hanging="360"/>
      </w:pPr>
      <w:r>
        <w:rPr>
          <w:rFonts w:ascii="Calibri" w:hAnsi="Calibri"/>
          <w:b w:val="0"/>
          <w:i w:val="0"/>
          <w:sz w:val="16"/>
        </w:rPr>
        <w:t>Loginov, I. P., Dergachev, A. M., y Pavlovskiy, E. A. (2020). Software portability based on retargetable runtime environment. Scientific and Technical Journal of Information Technologies, Mechanics and Optics, 20(3), 410-417. https://doi.org/10.17586/2226-1494-2020-20-3-410-417</w:t>
      </w:r>
    </w:p>
    <w:p>
      <w:pPr>
        <w:spacing w:after="80" w:line="264" w:lineRule="auto"/>
        <w:ind w:left="360" w:hanging="360"/>
      </w:pPr>
      <w:r>
        <w:rPr>
          <w:rFonts w:ascii="Calibri" w:hAnsi="Calibri"/>
          <w:b w:val="0"/>
          <w:i w:val="0"/>
          <w:sz w:val="16"/>
        </w:rPr>
        <w:t>Li, C., et al. (2023). A Hardware Non-Invasive Mapping Method for Condition Bits in Binary Translation. Electronics, 12(14), 3014. https://doi.org/10.3390/electronics12143014</w:t>
      </w:r>
    </w:p>
    <w:p>
      <w:pPr>
        <w:spacing w:after="80" w:line="264" w:lineRule="auto"/>
        <w:ind w:left="360" w:hanging="360"/>
      </w:pPr>
      <w:r>
        <w:rPr>
          <w:rFonts w:ascii="Calibri" w:hAnsi="Calibri"/>
          <w:b w:val="0"/>
          <w:i w:val="0"/>
          <w:sz w:val="16"/>
        </w:rPr>
        <w:t>Lin, H., et al. (2024). Trinity: High-Performance and Reliable Mobile Emulation through Graphics Projection. ACM Transactions on Computer Systems, 42(3-4). https://doi.org/10.1145/3643029</w:t>
      </w:r>
    </w:p>
    <w:p>
      <w:pPr>
        <w:spacing w:after="80" w:line="264" w:lineRule="auto"/>
        <w:ind w:left="360" w:hanging="360"/>
      </w:pPr>
      <w:r>
        <w:rPr>
          <w:rFonts w:ascii="Calibri" w:hAnsi="Calibri"/>
          <w:b w:val="0"/>
          <w:i w:val="0"/>
          <w:sz w:val="16"/>
        </w:rPr>
        <w:t>Yen, J., et al. (2025). ARMing x86 Games: Accelerating Binary Translation Using Software-Only Validated Flag Speculation. MobiSys 2025, 183-195. https://doi.org/10.1145/3711875.3729163</w:t>
      </w:r>
    </w:p>
    <w:p>
      <w:pPr>
        <w:spacing w:after="80" w:line="264" w:lineRule="auto"/>
        <w:ind w:left="360" w:hanging="360"/>
      </w:pPr>
      <w:r>
        <w:rPr>
          <w:rFonts w:ascii="Calibri" w:hAnsi="Calibri"/>
          <w:b w:val="0"/>
          <w:i w:val="0"/>
          <w:sz w:val="16"/>
        </w:rPr>
        <w:t>Yen, J., et al. (2026). RISCing it All: Accelerating Binary Translation Using Software-Only Validated Flag Speculation. IEEE Transactions on Mobile Computing. https://doi.org/10.1109/TMC.2026.3718184</w:t>
      </w:r>
    </w:p>
    <w:sectPr w:rsidR="00FC693F" w:rsidRPr="0006063C" w:rsidSect="00034616">
      <w:headerReference w:type="default" r:id="rId11"/>
      <w:footerReference w:type="default" r:id="rId12"/>
      <w:pgSz w:w="15840" w:h="12240" w:orient="landscape"/>
      <w:pgMar w:top="936" w:right="792" w:bottom="936"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666666"/>
        <w:sz w:val="18"/>
      </w:rPr>
      <w:t xml:space="preserve">Win2APK | Estado del arte | </w:t>
    </w:r>
    <w:r>
      <w:rPr>
        <w:rFonts w:ascii="Calibri" w:hAnsi="Calibri"/>
        <w:b w:val="0"/>
        <w:i w:val="0"/>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666666"/>
        <w:sz w:val="17"/>
      </w:rPr>
      <w:t xml:space="preserve">Estado del arte | </w:t>
    </w:r>
    <w:r>
      <w:rPr>
        <w:rFonts w:ascii="Calibri" w:hAnsi="Calibri"/>
        <w:b w:val="0"/>
        <w:i w:val="0"/>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val="0"/>
        <w:i w:val="0"/>
        <w:color w:val="666666"/>
        <w:sz w:val="17"/>
      </w:rPr>
      <w:t>Win2APK | Matriz comparativa de antecedentes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after="120"/>
      <w:ind w:left="360" w:right="360"/>
    </w:pPr>
    <w:rPr>
      <w:rFonts w:ascii="Consolas" w:hAnsi="Consola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del arte de Win2APK</dc:title>
  <dc:subject>Revisión sistemática PRISMA sobre portabilidad, traducción binaria y emulación</dc:subject>
  <dc:creator>Win2APK</dc:creator>
  <cp:keywords/>
  <dc:description>Documento generado a partir de los CSV suministrados para la revisión.</dc:description>
  <cp:lastModifiedBy/>
  <cp:revision>1</cp:revision>
  <dcterms:created xsi:type="dcterms:W3CDTF">2013-12-23T23:15:00Z</dcterms:created>
  <dcterms:modified xsi:type="dcterms:W3CDTF">2013-12-23T23:15:00Z</dcterms:modified>
  <cp:category/>
</cp:coreProperties>
</file>