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i w:val="0"/>
          <w:color w:val="0B2545"/>
          <w:sz w:val="40"/>
        </w:rPr>
        <w:t>Estado del arte</w:t>
      </w:r>
    </w:p>
    <w:p>
      <w:pPr>
        <w:spacing w:after="320"/>
      </w:pPr>
      <w:r>
        <w:rPr>
          <w:rFonts w:ascii="Calibri" w:hAnsi="Calibri"/>
          <w:b w:val="0"/>
          <w:i/>
          <w:color w:val="666666"/>
          <w:sz w:val="22"/>
        </w:rPr>
        <w:t>Revisión sistemática de literatura para Win2APK</w:t>
      </w:r>
    </w:p>
    <w:p>
      <w:pPr>
        <w:spacing w:after="280"/>
      </w:pPr>
      <w:r>
        <w:t>Corte de los archivos analizados: 30 de agosto de 2026</w:t>
      </w:r>
    </w:p>
    <w:p>
      <w:pPr>
        <w:pStyle w:val="Heading1"/>
      </w:pPr>
      <w:r>
        <w:t>1. Metodología de revisión</w:t>
      </w:r>
    </w:p>
    <w:p>
      <w:pPr>
        <w:keepLines w:val="0"/>
        <w:jc w:val="both"/>
      </w:pPr>
      <w:r>
        <w:rPr>
          <w:rFonts w:ascii="Calibri" w:hAnsi="Calibri"/>
          <w:b w:val="0"/>
          <w:i w:val="0"/>
          <w:sz w:val="22"/>
        </w:rPr>
        <w:t>El estado del arte se desarrolló mediante una revisión sistemática estructurada con base en la declaración PRISMA 2020. Esta guía recomienda informar de manera transparente las fuentes consultadas, la estrategia de búsqueda, los criterios de selección y el flujo de inclusión de los estudios. En este proyecto, la revisión busca identificar antecedentes sobre portabilidad de software, migración de aplicaciones legadas, traducción binaria entre arquitecturas, compatibilidad y emulación móvil.</w:t>
      </w:r>
    </w:p>
    <w:p>
      <w:pPr>
        <w:keepLines w:val="0"/>
        <w:jc w:val="both"/>
      </w:pPr>
      <w:r>
        <w:t>La búsqueda principal se ejecutó en Scopus y se complementó con una revisión de la carpeta bibliografia. Para el flujo PRISMA se conservaron los 533 registros de la exportación conjunta de Scopus; la bibliografía local se trató como fuente suplementaria para recuperar antecedentes, detectar duplicados y proponer candidatos adicionales. Se consideraron publicaciones en inglés y español dentro del periodo 2020-2026 para la síntesis principal.</w:t>
      </w:r>
    </w:p>
    <w:p>
      <w:pPr>
        <w:pStyle w:val="Caption"/>
        <w:spacing w:before="80" w:after="80"/>
        <w:jc w:val="left"/>
      </w:pPr>
      <w:r>
        <w:rPr>
          <w:rFonts w:ascii="Calibri" w:hAnsi="Calibri"/>
          <w:b/>
          <w:i w:val="0"/>
          <w:color w:val="404040"/>
          <w:sz w:val="20"/>
        </w:rPr>
        <w:t>Tabla 1. Registros obtenidos por consulta</w:t>
      </w:r>
    </w:p>
    <w:tbl>
      <w:tblPr>
        <w:tblW w:type="dxa" w:w="9360"/>
        <w:jc w:val="left"/>
        <w:tblLayout w:type="fixed"/>
        <w:tblLook w:firstColumn="1" w:firstRow="1" w:lastColumn="0" w:lastRow="0" w:noHBand="0" w:noVBand="1" w:val="04A0"/>
        <w:tblInd w:w="120" w:type="dxa"/>
      </w:tblPr>
      <w:tblGrid>
        <w:gridCol w:w="900"/>
        <w:gridCol w:w="2850"/>
        <w:gridCol w:w="1500"/>
        <w:gridCol w:w="4110"/>
      </w:tblGrid>
      <w:tr>
        <w:trPr>
          <w:tblHeader w:val="true"/>
        </w:trPr>
        <w:tc>
          <w:tcPr>
            <w:tcW w:type="dxa" w:w="900"/>
            <w:tcMar>
              <w:top w:w="80" w:type="dxa"/>
              <w:start w:w="120" w:type="dxa"/>
              <w:bottom w:w="80" w:type="dxa"/>
              <w:end w:w="120" w:type="dxa"/>
            </w:tcMar>
            <w:vAlign w:val="top"/>
            <w:shd w:fill="F4F6F9"/>
          </w:tcPr>
          <w:p>
            <w:pPr>
              <w:spacing w:after="0"/>
            </w:pPr>
            <w:r>
              <w:rPr>
                <w:rFonts w:ascii="Calibri" w:hAnsi="Calibri"/>
                <w:b/>
                <w:i w:val="0"/>
                <w:color w:val="0B2545"/>
                <w:sz w:val="17"/>
              </w:rPr>
              <w:t>Consulta</w:t>
            </w:r>
          </w:p>
        </w:tc>
        <w:tc>
          <w:tcPr>
            <w:tcW w:type="dxa" w:w="2850"/>
            <w:tcMar>
              <w:top w:w="80" w:type="dxa"/>
              <w:start w:w="120" w:type="dxa"/>
              <w:bottom w:w="80" w:type="dxa"/>
              <w:end w:w="120" w:type="dxa"/>
            </w:tcMar>
            <w:vAlign w:val="top"/>
            <w:shd w:fill="F4F6F9"/>
          </w:tcPr>
          <w:p>
            <w:pPr>
              <w:spacing w:after="0"/>
            </w:pPr>
            <w:r>
              <w:rPr>
                <w:rFonts w:ascii="Calibri" w:hAnsi="Calibri"/>
                <w:b/>
                <w:i w:val="0"/>
                <w:color w:val="0B2545"/>
                <w:sz w:val="17"/>
              </w:rPr>
              <w:t>Orientación</w:t>
            </w:r>
          </w:p>
        </w:tc>
        <w:tc>
          <w:tcPr>
            <w:tcW w:type="dxa" w:w="1500"/>
            <w:tcMar>
              <w:top w:w="80" w:type="dxa"/>
              <w:start w:w="120" w:type="dxa"/>
              <w:bottom w:w="80" w:type="dxa"/>
              <w:end w:w="120" w:type="dxa"/>
            </w:tcMar>
            <w:vAlign w:val="top"/>
            <w:shd w:fill="F4F6F9"/>
          </w:tcPr>
          <w:p>
            <w:pPr>
              <w:spacing w:after="0"/>
            </w:pPr>
            <w:r>
              <w:rPr>
                <w:rFonts w:ascii="Calibri" w:hAnsi="Calibri"/>
                <w:b/>
                <w:i w:val="0"/>
                <w:color w:val="0B2545"/>
                <w:sz w:val="17"/>
              </w:rPr>
              <w:t>Registros</w:t>
            </w:r>
          </w:p>
        </w:tc>
        <w:tc>
          <w:tcPr>
            <w:tcW w:type="dxa" w:w="4110"/>
            <w:tcMar>
              <w:top w:w="80" w:type="dxa"/>
              <w:start w:w="120" w:type="dxa"/>
              <w:bottom w:w="80" w:type="dxa"/>
              <w:end w:w="120" w:type="dxa"/>
            </w:tcMar>
            <w:vAlign w:val="top"/>
            <w:shd w:fill="F4F6F9"/>
          </w:tcPr>
          <w:p>
            <w:pPr>
              <w:spacing w:after="0"/>
            </w:pPr>
            <w:r>
              <w:rPr>
                <w:rFonts w:ascii="Calibri" w:hAnsi="Calibri"/>
                <w:b/>
                <w:i w:val="0"/>
                <w:color w:val="0B2545"/>
                <w:sz w:val="17"/>
              </w:rPr>
              <w:t>Tipos documentales registrados</w:t>
            </w:r>
          </w:p>
        </w:tc>
      </w:tr>
      <w:tr>
        <w:tc>
          <w:tcPr>
            <w:tcW w:type="dxa" w:w="900"/>
          </w:tcPr>
          <w:p>
            <w:pPr>
              <w:spacing w:after="0"/>
            </w:pPr>
            <w:r>
              <w:rPr>
                <w:rFonts w:ascii="Calibri" w:hAnsi="Calibri"/>
                <w:b w:val="0"/>
                <w:i w:val="0"/>
                <w:sz w:val="17"/>
              </w:rPr>
              <w:t>S1</w:t>
            </w:r>
          </w:p>
        </w:tc>
        <w:tc>
          <w:tcPr>
            <w:tcW w:type="dxa" w:w="2850"/>
          </w:tcPr>
          <w:p>
            <w:pPr>
              <w:spacing w:after="0"/>
            </w:pPr>
            <w:r>
              <w:rPr>
                <w:rFonts w:ascii="Calibri" w:hAnsi="Calibri"/>
                <w:b w:val="0"/>
                <w:i w:val="0"/>
                <w:sz w:val="17"/>
              </w:rPr>
              <w:t>Traducción binaria y compatibilidad x86/ARM</w:t>
            </w:r>
          </w:p>
        </w:tc>
        <w:tc>
          <w:tcPr>
            <w:tcW w:type="dxa" w:w="1500"/>
          </w:tcPr>
          <w:p>
            <w:pPr>
              <w:spacing w:after="0"/>
            </w:pPr>
            <w:r>
              <w:rPr>
                <w:rFonts w:ascii="Calibri" w:hAnsi="Calibri"/>
                <w:b w:val="0"/>
                <w:i w:val="0"/>
                <w:sz w:val="17"/>
              </w:rPr>
              <w:t>28</w:t>
            </w:r>
          </w:p>
        </w:tc>
        <w:tc>
          <w:tcPr>
            <w:tcW w:type="dxa" w:w="4110"/>
          </w:tcPr>
          <w:p>
            <w:pPr>
              <w:spacing w:after="0"/>
            </w:pPr>
            <w:r>
              <w:rPr>
                <w:rFonts w:ascii="Calibri" w:hAnsi="Calibri"/>
                <w:b w:val="0"/>
                <w:i w:val="0"/>
                <w:sz w:val="17"/>
              </w:rPr>
              <w:t>Article: 7; Conference paper: 21</w:t>
            </w:r>
          </w:p>
        </w:tc>
      </w:tr>
      <w:tr>
        <w:tc>
          <w:tcPr>
            <w:tcW w:type="dxa" w:w="900"/>
          </w:tcPr>
          <w:p>
            <w:pPr>
              <w:spacing w:after="0"/>
            </w:pPr>
            <w:r>
              <w:rPr>
                <w:rFonts w:ascii="Calibri" w:hAnsi="Calibri"/>
                <w:b w:val="0"/>
                <w:i w:val="0"/>
                <w:sz w:val="17"/>
              </w:rPr>
              <w:t>S2</w:t>
            </w:r>
          </w:p>
        </w:tc>
        <w:tc>
          <w:tcPr>
            <w:tcW w:type="dxa" w:w="2850"/>
          </w:tcPr>
          <w:p>
            <w:pPr>
              <w:spacing w:after="0"/>
            </w:pPr>
            <w:r>
              <w:rPr>
                <w:rFonts w:ascii="Calibri" w:hAnsi="Calibri"/>
                <w:b w:val="0"/>
                <w:i w:val="0"/>
                <w:sz w:val="17"/>
              </w:rPr>
              <w:t>Capas de compatibilidad y emulación móvil</w:t>
            </w:r>
          </w:p>
        </w:tc>
        <w:tc>
          <w:tcPr>
            <w:tcW w:type="dxa" w:w="1500"/>
          </w:tcPr>
          <w:p>
            <w:pPr>
              <w:spacing w:after="0"/>
            </w:pPr>
            <w:r>
              <w:rPr>
                <w:rFonts w:ascii="Calibri" w:hAnsi="Calibri"/>
                <w:b w:val="0"/>
                <w:i w:val="0"/>
                <w:sz w:val="17"/>
              </w:rPr>
              <w:t>20</w:t>
            </w:r>
          </w:p>
        </w:tc>
        <w:tc>
          <w:tcPr>
            <w:tcW w:type="dxa" w:w="4110"/>
          </w:tcPr>
          <w:p>
            <w:pPr>
              <w:spacing w:after="0"/>
            </w:pPr>
            <w:r>
              <w:rPr>
                <w:rFonts w:ascii="Calibri" w:hAnsi="Calibri"/>
                <w:b w:val="0"/>
                <w:i w:val="0"/>
                <w:sz w:val="17"/>
              </w:rPr>
              <w:t>Article: 8; Conference paper: 11; Review: 1</w:t>
            </w:r>
          </w:p>
        </w:tc>
      </w:tr>
      <w:tr>
        <w:tc>
          <w:tcPr>
            <w:tcW w:type="dxa" w:w="900"/>
          </w:tcPr>
          <w:p>
            <w:pPr>
              <w:spacing w:after="0"/>
            </w:pPr>
            <w:r>
              <w:rPr>
                <w:rFonts w:ascii="Calibri" w:hAnsi="Calibri"/>
                <w:b w:val="0"/>
                <w:i w:val="0"/>
                <w:sz w:val="17"/>
              </w:rPr>
              <w:t>S3</w:t>
            </w:r>
          </w:p>
        </w:tc>
        <w:tc>
          <w:tcPr>
            <w:tcW w:type="dxa" w:w="2850"/>
          </w:tcPr>
          <w:p>
            <w:pPr>
              <w:spacing w:after="0"/>
            </w:pPr>
            <w:r>
              <w:rPr>
                <w:rFonts w:ascii="Calibri" w:hAnsi="Calibri"/>
                <w:b w:val="0"/>
                <w:i w:val="0"/>
                <w:sz w:val="17"/>
              </w:rPr>
              <w:t>Empaquetado, runtime y virtualización de aplicaciones</w:t>
            </w:r>
          </w:p>
        </w:tc>
        <w:tc>
          <w:tcPr>
            <w:tcW w:type="dxa" w:w="1500"/>
          </w:tcPr>
          <w:p>
            <w:pPr>
              <w:spacing w:after="0"/>
            </w:pPr>
            <w:r>
              <w:rPr>
                <w:rFonts w:ascii="Calibri" w:hAnsi="Calibri"/>
                <w:b w:val="0"/>
                <w:i w:val="0"/>
                <w:sz w:val="17"/>
              </w:rPr>
              <w:t>105</w:t>
            </w:r>
          </w:p>
        </w:tc>
        <w:tc>
          <w:tcPr>
            <w:tcW w:type="dxa" w:w="4110"/>
          </w:tcPr>
          <w:p>
            <w:pPr>
              <w:spacing w:after="0"/>
            </w:pPr>
            <w:r>
              <w:rPr>
                <w:rFonts w:ascii="Calibri" w:hAnsi="Calibri"/>
                <w:b w:val="0"/>
                <w:i w:val="0"/>
                <w:sz w:val="17"/>
              </w:rPr>
              <w:t>Article: 29; Book chapter: 3; Conference paper: 67; Conference review: 5; Review: 1</w:t>
            </w:r>
          </w:p>
        </w:tc>
      </w:tr>
      <w:tr>
        <w:tc>
          <w:tcPr>
            <w:tcW w:type="dxa" w:w="900"/>
          </w:tcPr>
          <w:p>
            <w:pPr>
              <w:spacing w:after="0"/>
            </w:pPr>
            <w:r>
              <w:rPr>
                <w:rFonts w:ascii="Calibri" w:hAnsi="Calibri"/>
                <w:b w:val="0"/>
                <w:i w:val="0"/>
                <w:sz w:val="17"/>
              </w:rPr>
              <w:t>S4</w:t>
            </w:r>
          </w:p>
        </w:tc>
        <w:tc>
          <w:tcPr>
            <w:tcW w:type="dxa" w:w="2850"/>
          </w:tcPr>
          <w:p>
            <w:pPr>
              <w:spacing w:after="0"/>
            </w:pPr>
            <w:r>
              <w:rPr>
                <w:rFonts w:ascii="Calibri" w:hAnsi="Calibri"/>
                <w:b w:val="0"/>
                <w:i w:val="0"/>
                <w:sz w:val="17"/>
              </w:rPr>
              <w:t>Portabilidad y migración de software existente</w:t>
            </w:r>
          </w:p>
        </w:tc>
        <w:tc>
          <w:tcPr>
            <w:tcW w:type="dxa" w:w="1500"/>
          </w:tcPr>
          <w:p>
            <w:pPr>
              <w:spacing w:after="0"/>
            </w:pPr>
            <w:r>
              <w:rPr>
                <w:rFonts w:ascii="Calibri" w:hAnsi="Calibri"/>
                <w:b w:val="0"/>
                <w:i w:val="0"/>
                <w:sz w:val="17"/>
              </w:rPr>
              <w:t>394</w:t>
            </w:r>
          </w:p>
        </w:tc>
        <w:tc>
          <w:tcPr>
            <w:tcW w:type="dxa" w:w="4110"/>
          </w:tcPr>
          <w:p>
            <w:pPr>
              <w:spacing w:after="0"/>
            </w:pPr>
            <w:r>
              <w:rPr>
                <w:rFonts w:ascii="Calibri" w:hAnsi="Calibri"/>
                <w:b w:val="0"/>
                <w:i w:val="0"/>
                <w:sz w:val="17"/>
              </w:rPr>
              <w:t>Article: 118; Book: 3; Book chapter: 9; Conference paper: 248; Conference review: 9; Review: 7</w:t>
            </w:r>
          </w:p>
        </w:tc>
      </w:tr>
      <w:tr>
        <w:tc>
          <w:tcPr>
            <w:tcW w:type="dxa" w:w="900"/>
          </w:tcPr>
          <w:p>
            <w:r>
              <w:t>SJ</w:t>
            </w:r>
          </w:p>
        </w:tc>
        <w:tc>
          <w:tcPr>
            <w:tcW w:type="dxa" w:w="2850"/>
          </w:tcPr>
          <w:p>
            <w:r>
              <w:t>Consulta conjunta para el corpus principal</w:t>
            </w:r>
          </w:p>
        </w:tc>
        <w:tc>
          <w:tcPr>
            <w:tcW w:type="dxa" w:w="1500"/>
          </w:tcPr>
          <w:p>
            <w:r>
              <w:t>533</w:t>
            </w:r>
          </w:p>
        </w:tc>
        <w:tc>
          <w:tcPr>
            <w:tcW w:type="dxa" w:w="4110"/>
          </w:tcPr>
          <w:p>
            <w:r>
              <w:t>Exportación conjunta; consulta literal y archivo conservados en la matriz.</w:t>
            </w:r>
          </w:p>
        </w:tc>
      </w:tr>
    </w:tbl>
    <w:p>
      <w:pPr>
        <w:pStyle w:val="Heading1"/>
      </w:pPr>
      <w:r>
        <w:t>2. Ecuaciones y criterios de búsqueda</w:t>
      </w:r>
    </w:p>
    <w:p>
      <w:pPr>
        <w:keepLines w:val="0"/>
        <w:jc w:val="both"/>
      </w:pPr>
      <w:r>
        <w:t>Las cuatro consultas se diseñaron para cubrir componentes distintos del problema. S1 aborda la traducción binaria entre arquitecturas x86 y ARM; S2, las capas de compatibilidad y la emulación en plataformas móviles; S3, el empaquetado y la incorporación de runtimes y dependencias; y S4, la portabilidad y migración de software existente. Las ecuaciones registradas fueron las siguientes:</w:t>
      </w:r>
    </w:p>
    <w:p>
      <w:pPr>
        <w:pStyle w:val="CodeBlock"/>
        <w:spacing w:before="60" w:after="120"/>
        <w:ind w:left="360" w:right="360"/>
      </w:pPr>
      <w:r>
        <w:rPr>
          <w:rFonts w:ascii="Consolas" w:hAnsi="Consolas"/>
          <w:b w:val="0"/>
          <w:i w:val="0"/>
          <w:color w:val="1F2937"/>
          <w:sz w:val="17"/>
        </w:rPr>
        <w:t>S1 = TITLE-ABS-KEY(("dynamic binary translation" OR "binary translation" OR "cross-ISA emulation") AND ((x86 OR "x86-64") AND (ARM OR ARM64 OR AArch64))) AND PUBYEAR &gt; 2019 AND PUBYEAR &lt; 2027</w:t>
      </w:r>
    </w:p>
    <w:p>
      <w:pPr>
        <w:pStyle w:val="CodeBlock"/>
        <w:spacing w:before="60" w:after="120"/>
        <w:ind w:left="360" w:right="360"/>
      </w:pPr>
      <w:r>
        <w:rPr>
          <w:rFonts w:ascii="Consolas" w:hAnsi="Consolas"/>
          <w:b w:val="0"/>
          <w:i w:val="0"/>
          <w:color w:val="1F2937"/>
          <w:sz w:val="17"/>
        </w:rPr>
        <w:t>S2 = TITLE-ABS-KEY(("compatibility layer" OR "application compatibility" OR "application emulation" OR "mobile emulation" OR "software emulation") AND (Android OR ARM OR ARM64 OR AArch64 OR "mobile platform") AND (application* OR software OR runtime)) AND PUBYEAR &gt; 2019 AND PUBYEAR &lt; 2027</w:t>
      </w:r>
    </w:p>
    <w:p>
      <w:pPr>
        <w:pStyle w:val="CodeBlock"/>
      </w:pPr>
      <w:r>
        <w:t>S3 = TITLE-ABS-KEY((("self-contained deployment package*" OR "self-contained application*" OR "software packaging" OR "application packaging" OR "runtime bundling" OR "application bundling" OR "dependency bundling" OR "software encapsulation" OR "application virtualization") AND (software OR application* OR runtime OR dependenc* OR deployment))) AND PUBYEAR &gt; 2019 AND PUBYEAR &lt; 2027 AND (LIMIT-TO(SUBJAREA, "COMP"))</w:t>
      </w:r>
    </w:p>
    <w:p>
      <w:pPr>
        <w:pStyle w:val="CodeBlock"/>
      </w:pPr>
      <w:r>
        <w:t>S4 = TITLE-ABS-KEY((("cross-platform software development" OR "software portability" OR "application portability" OR "legacy application migration" OR "legacy software migration" OR "non-cloud-native application*" OR "application migration") AND (software OR application*) AND (migration OR transformation OR runtime OR deployment OR compatibility OR reuse))) AND PUBYEAR &gt; 2019 AND PUBYEAR &lt; 2027 AND (LIMIT-TO(SUBJAREA, "COMP"))</w:t>
      </w:r>
    </w:p>
    <w:p>
      <w:pPr>
        <w:keepLines w:val="0"/>
        <w:jc w:val="both"/>
      </w:pPr>
      <w:r>
        <w:t>Las cuatro búsquedas se ejecutaron en Scopus sobre título, resumen y palabras clave, con el periodo 2020-2026. S3 y S4 limitaron además los resultados al área de Ciencias de la Computación mediante el filtro SUBJAREA "COMP". Las cadenas se conservaron literalmente para permitir la reproducción de la búsqueda.</w:t>
      </w:r>
    </w:p>
    <w:p>
      <w:pPr>
        <w:keepLines w:val="0"/>
        <w:jc w:val="both"/>
      </w:pPr>
      <w:r>
        <w:rPr>
          <w:rFonts w:ascii="Calibri" w:hAnsi="Calibri"/>
          <w:b w:val="0"/>
          <w:i w:val="0"/>
          <w:sz w:val="22"/>
        </w:rPr>
        <w:t>Se incluyeron estudios publicados entre 2020 y 2026, escritos en inglés o español, que abordaran portabilidad de software, ejecución sobre arquitecturas diferentes, traducción binaria, emulación, compatibilidad, virtualización de aplicaciones o migración de software legado. También se priorizaron trabajos con metodología identificable, variables observables y resultados analizables.</w:t>
      </w:r>
    </w:p>
    <w:p>
      <w:pPr>
        <w:keepLines w:val="0"/>
        <w:jc w:val="both"/>
      </w:pPr>
      <w:r>
        <w:rPr>
          <w:rFonts w:ascii="Calibri" w:hAnsi="Calibri"/>
          <w:b w:val="0"/>
          <w:i w:val="0"/>
          <w:sz w:val="22"/>
        </w:rPr>
        <w:t>Se excluyeron duplicados, publicaciones fuera del periodo, trabajos sin relación con la ejecución o portabilidad de aplicaciones, estudios centrados únicamente en hardware, migración de datos, redes, cloud computing o edge computing, y documentos en los que los términos de búsqueda aparecieran de manera incidental. Los motivos de exclusión se codificarán mediante las categorías E1 a E10 definidas para la matriz de cribado.</w:t>
      </w:r>
    </w:p>
    <w:p>
      <w:pPr>
        <w:pStyle w:val="Heading1"/>
      </w:pPr>
      <w:r>
        <w:t>3. Registros identificados y flujo PRISMA</w:t>
      </w:r>
    </w:p>
    <w:p>
      <w:pPr>
        <w:keepLines w:val="0"/>
        <w:jc w:val="both"/>
      </w:pPr>
      <w:r>
        <w:t>Los archivos de consulta individual contienen 28 registros en S1, 20 en S2, 105 en S3 y 394 en S4. La consulta conjunta utilizada para la matriz principal devuelve 533 registros Scopus y se conserva como el corpus PRISMA de trabajo. Esta decisión evita sumar resultados de consultas solapadas y permite rastrear la procedencia de cada registro.</w:t>
      </w:r>
    </w:p>
    <w:p>
      <w:pPr>
        <w:keepLines w:val="0"/>
        <w:jc w:val="both"/>
      </w:pPr>
      <w:r>
        <w:t>En el corpus conjunto no se confirmaron duplicados por DOI; los 27 registros sin DOI se controlan mediante EID y título. La matriz conserva además cuatro coincidencias de título normalizado para validación manual. La revisión de la bibliografía local se reporta por separado para no mezclar sus duplicados con el conteo PRISMA.</w:t>
      </w:r>
    </w:p>
    <w:p>
      <w:pPr>
        <w:pStyle w:val="Caption"/>
        <w:spacing w:before="80" w:after="80"/>
        <w:jc w:val="left"/>
      </w:pPr>
      <w:r>
        <w:rPr>
          <w:rFonts w:ascii="Calibri" w:hAnsi="Calibri"/>
          <w:b/>
          <w:i w:val="0"/>
          <w:color w:val="404040"/>
          <w:sz w:val="20"/>
        </w:rPr>
        <w:t>Figura 1. Flujo preliminar de identificación y selección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E8EEF5"/>
          </w:tcPr>
          <w:p>
            <w:pPr>
              <w:spacing w:after="0"/>
              <w:jc w:val="center"/>
            </w:pPr>
            <w:r>
              <w:t>Registros identificados en Scopus: 533</w:t>
            </w:r>
          </w:p>
        </w:tc>
      </w:tr>
    </w:tbl>
    <w:p>
      <w:pPr>
        <w:spacing w:before="0" w:after="0"/>
        <w:jc w:val="center"/>
      </w:pPr>
      <w:r>
        <w:rPr>
          <w:rFonts w:ascii="Calibri" w:hAnsi="Calibri"/>
          <w:b/>
          <w:i w:val="0"/>
          <w:color w:val="7A5A00"/>
          <w:sz w:val="26"/>
        </w:rPr>
        <w: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tcPr>
          <w:p>
            <w:pPr>
              <w:spacing w:after="0"/>
              <w:jc w:val="center"/>
            </w:pPr>
            <w:r>
              <w:t>Duplicados confirmados por DOI en el corpus conjunto: 0</w:t>
            </w:r>
          </w:p>
        </w:tc>
      </w:tr>
    </w:tbl>
    <w:p>
      <w:pPr>
        <w:spacing w:before="0" w:after="0"/>
        <w:jc w:val="center"/>
      </w:pPr>
      <w:r>
        <w:rPr>
          <w:rFonts w:ascii="Calibri" w:hAnsi="Calibri"/>
          <w:b/>
          <w:i w:val="0"/>
          <w:color w:val="7A5A00"/>
          <w:sz w:val="26"/>
        </w:rPr>
        <w: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tcPr>
          <w:p>
            <w:pPr>
              <w:spacing w:after="0"/>
              <w:jc w:val="center"/>
            </w:pPr>
            <w:r>
              <w:t>Registros Scopus conservados para cribado: 533</w:t>
            </w:r>
          </w:p>
        </w:tc>
      </w:tr>
    </w:tbl>
    <w:p>
      <w:pPr>
        <w:pStyle w:val="Caption"/>
        <w:keepLines w:val="0"/>
        <w:jc w:val="both"/>
      </w:pPr>
      <w:r>
        <w:rPr>
          <w:rFonts w:ascii="Calibri" w:hAnsi="Calibri"/>
          <w:b w:val="0"/>
          <w:i w:val="0"/>
          <w:sz w:val="22"/>
        </w:rPr>
        <w:t>Nota: tres registros con el mismo título y sin DOI permanecen sujetos a revisión manual; no se eliminaron del conteo provisional.</w:t>
      </w:r>
    </w:p>
    <w:p>
      <w:pPr>
        <w:spacing w:before="0" w:after="0"/>
        <w:jc w:val="center"/>
      </w:pPr>
      <w:r>
        <w:rPr>
          <w:rFonts w:ascii="Calibri" w:hAnsi="Calibri"/>
          <w:b/>
          <w:i w:val="0"/>
          <w:color w:val="7A5A00"/>
          <w:sz w:val="26"/>
        </w:rPr>
        <w: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tcPr>
          <w:p>
            <w:pPr>
              <w:spacing w:after="0"/>
              <w:jc w:val="center"/>
            </w:pPr>
            <w:r>
              <w:t>Cribado preliminar por título y resumen: 458 excluidos; 50 incluidos; 25 en duda</w:t>
            </w:r>
          </w:p>
        </w:tc>
      </w:tr>
    </w:tbl>
    <w:p>
      <w:pPr>
        <w:spacing w:before="0" w:after="0"/>
        <w:jc w:val="center"/>
      </w:pPr>
      <w:r>
        <w:rPr>
          <w:rFonts w:ascii="Calibri" w:hAnsi="Calibri"/>
          <w:b/>
          <w:i w:val="0"/>
          <w:color w:val="7A5A00"/>
          <w:sz w:val="26"/>
        </w:rPr>
        <w: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tcPr>
          <w:p>
            <w:pPr>
              <w:spacing w:after="0"/>
              <w:jc w:val="center"/>
            </w:pPr>
            <w:r>
              <w:t>Textos completos evaluados: 0; lectura pendiente</w:t>
            </w:r>
          </w:p>
        </w:tc>
      </w:tr>
    </w:tbl>
    <w:p>
      <w:pPr>
        <w:spacing w:before="0" w:after="0"/>
        <w:jc w:val="center"/>
      </w:pPr>
      <w:r>
        <w:rPr>
          <w:rFonts w:ascii="Calibri" w:hAnsi="Calibri"/>
          <w:b/>
          <w:i w:val="0"/>
          <w:color w:val="7A5A00"/>
          <w:sz w:val="26"/>
        </w:rPr>
        <w: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tcPr>
          <w:p>
            <w:pPr>
              <w:spacing w:after="0"/>
              <w:jc w:val="center"/>
            </w:pPr>
            <w:r>
              <w:t>Estudios incluidos finalmente: 0; decisión pendiente</w:t>
            </w:r>
          </w:p>
        </w:tc>
      </w:tr>
    </w:tbl>
    <w:p>
      <w:pPr>
        <w:keepLines w:val="0"/>
        <w:jc w:val="both"/>
      </w:pPr>
      <w:r>
        <w:t>El cribado preliminar de la matriz vigente registra 458 exclusiones por título y resumen, 50 registros incluidos provisionalmente y 25 registros en duda. Estos valores son trazables en la hoja Cribado, pero requieren validación del investigador antes de convertirse en decisiones finales. La figura definitiva deberá indicar los documentos excluidos en cada fase y sus motivos, conforme al diagrama PRISMA 2020.</w:t>
      </w:r>
    </w:p>
    <w:p>
      <w:pPr>
        <w:pStyle w:val="Heading2"/>
      </w:pPr>
      <w:r>
        <w:t>3.1. Integración de la bibliografía local</w:t>
      </w:r>
    </w:p>
    <w:p>
      <w:pPr/>
      <w:r>
        <w:t>La fuente suplementaria contiene 72 referencias declaradas en LISTA_FINAL.csv y 69 PDFs presentes en bibliografia/articulos; tres referencias no tienen archivo local. La comprobación por DOI o título normalizado identificó ocho duplicados de registros Scopus, que se mantienen como correspondencias y no se agregan nuevamente al corpus principal. Los 61 registros no duplicados se incorporaron a la hoja Candidatos locales de la matriz ampliada: 43 presentan relación técnica directa con compatibilidad, emulación, traducción binaria, arquitecturas ARM/x86, QEMU, LLVM, Wine o migración de software, y 18 aportan contexto sobre contenedores, seguridad de código nativo, gráficos, virtualización y reproducibilidad.</w:t>
      </w:r>
    </w:p>
    <w:p>
      <w:pPr/>
      <w:r>
        <w:t>La disponibilidad de un archivo tampoco se interpretó como inclusión automática. En el inventario, 51 PDFs tienen texto extraíble y 18 son marcadores o no contienen texto suficiente; entre los candidatos no duplicados, 47 tienen texto extraíble y 14 requieren recuperación o una fuente alternativa. Diez candidatos tienen año verificado dentro de 2020-2026, 36 están fuera de la ventana temporal y 15 conservan el año como N/R. Por eso, los trabajos anteriores pueden apoyar los fundamentos técnicos, pero no sustituyen los artículos requeridos para la síntesis principal. La lectura completa, la verificación de indexación en Scopus o WOS y la decisión final permanecen pendientes.</w:t>
      </w:r>
    </w:p>
    <w:p>
      <w:pPr>
        <w:pStyle w:val="Heading1"/>
      </w:pPr>
      <w:r>
        <w:t>4. Análisis crítico y comparativo</w:t>
      </w:r>
    </w:p>
    <w:p>
      <w:pPr>
        <w:keepLines w:val="0"/>
        <w:jc w:val="both"/>
      </w:pPr>
      <w:r>
        <w:rPr>
          <w:rFonts w:ascii="Calibri" w:hAnsi="Calibri"/>
          <w:b w:val="0"/>
          <w:i w:val="0"/>
          <w:sz w:val="22"/>
        </w:rPr>
        <w:t>La literatura revisada muestra una evolución desde los enfoques de desarrollo multiplataforma hacia estrategias que buscan conservar aplicaciones existentes. Blanco y Lucrédio (2021) proponen un enfoque basado en modelos, transformaciones automáticas y una abstracción que permite distribuir funcionalidades entre plataformas. Sus evaluaciones incluyeron la recreación de un sistema existente, pruebas con desarrolladores expertos y principiantes, y soporte para pruebas multiplataforma. El trabajo respalda la reutilización de conceptos y el uso de un entorno común, pero parte de la posibilidad de intervenir en el desarrollo del software. No resuelve directamente el caso de una aplicación Windows ya compilada sin código fuente disponible.</w:t>
      </w:r>
    </w:p>
    <w:p>
      <w:pPr>
        <w:keepLines w:val="0"/>
        <w:jc w:val="both"/>
      </w:pPr>
      <w:r>
        <w:rPr>
          <w:rFonts w:ascii="Calibri" w:hAnsi="Calibri"/>
          <w:b w:val="0"/>
          <w:i w:val="0"/>
          <w:sz w:val="22"/>
        </w:rPr>
        <w:t>El problema de conservar aplicaciones existentes aparece de forma más directa en Yarza et al. (2021), quienes estudian la migración de software legado hacia nuevas arquitecturas mediante traducción binaria y contratos temporales formales. El estudio considera que la migración debe preservar tanto el comportamiento funcional como las restricciones de tiempo. Su escenario se concentra en sistemas embebidos de tiempo real, por lo que no aborda la distribución de aplicaciones Windows dentro de paquetes Android. Aun así, ofrece una base para justificar la reutilización de software cuando una reescritura completa no resulta conveniente.</w:t>
      </w:r>
    </w:p>
    <w:p>
      <w:pPr>
        <w:keepLines w:val="0"/>
        <w:jc w:val="both"/>
      </w:pPr>
      <w:r>
        <w:rPr>
          <w:rFonts w:ascii="Calibri" w:hAnsi="Calibri"/>
          <w:b w:val="0"/>
          <w:i w:val="0"/>
          <w:sz w:val="22"/>
        </w:rPr>
        <w:t>Loginov et al. (2020) amplían esta discusión mediante un entorno de ejecución retargetable configurado con metadatos de la plataforma destino. Su propuesta estudia la portabilidad a nivel de código binario y entorno de ejecución, y plantea una generación del runtime sin requerir el código fuente de la aplicación existente. Este antecedente se relaciona con Win2APK porque desplaza parte de la portabilidad desde el programa hacia el entorno que lo ejecuta. La diferencia está en que Win2APK debe resolver, además, la preparación del paquete Android, la incorporación de dependencias y el inicio directo de la aplicación.</w:t>
      </w:r>
    </w:p>
    <w:p>
      <w:pPr>
        <w:keepLines w:val="0"/>
        <w:jc w:val="both"/>
      </w:pPr>
      <w:r>
        <w:rPr>
          <w:rFonts w:ascii="Calibri" w:hAnsi="Calibri"/>
          <w:b w:val="0"/>
          <w:i w:val="0"/>
          <w:sz w:val="22"/>
        </w:rPr>
        <w:t>La traducción binaria introduce problemas internos que afectan la compatibilidad y el rendimiento. Li et al. (2023) presentan un método para tratar los bits de condición durante la traducción y reportan, en su escenario de evaluación con QEMU entre ARM y RISC-V, una reducción del 41 % en el número total de instrucciones y del 37 % en las instrucciones de acceso a memoria. El resultado demuestra que las diferencias entre arquitecturas no se limitan al formato del ejecutable. Sin embargo, el estudio evalúa una optimización específica del traductor y no un flujo completo de empaquetado y distribución.</w:t>
      </w:r>
    </w:p>
    <w:p>
      <w:pPr>
        <w:keepLines w:val="0"/>
        <w:jc w:val="both"/>
      </w:pPr>
      <w:r>
        <w:rPr>
          <w:rFonts w:ascii="Calibri" w:hAnsi="Calibri"/>
          <w:b w:val="0"/>
          <w:i w:val="0"/>
          <w:sz w:val="22"/>
        </w:rPr>
        <w:t>Yen et al. (2025) abordan un problema cercano al de Win2APK al estudiar aplicaciones x86 sobre hardware ARM. Su método aprovecha los flags del hardware ARM para reducir el costo de emulación de los flags x86. Los autores reportan mejoras de hasta 18 % en tareas computacionales y renderizado, además de incrementos de FPS en varios juegos de Steam. El artículo es un antecedente de conferencia indexado en Scopus y resulta útil para justificar la importancia de Box64. Su alcance, no obstante, se concentra en optimizar la traducción y no en preparar un paquete distribuible para usuarios finales.</w:t>
      </w:r>
    </w:p>
    <w:p>
      <w:pPr>
        <w:keepLines w:val="0"/>
        <w:jc w:val="both"/>
      </w:pPr>
      <w:r>
        <w:rPr>
          <w:rFonts w:ascii="Calibri" w:hAnsi="Calibri"/>
          <w:b w:val="0"/>
          <w:i w:val="0"/>
          <w:sz w:val="22"/>
        </w:rPr>
        <w:t>La versión de revista de Yen et al. (2026) presenta Cascade, un framework de traducción x86 hacia ARM64 implementado sobre Box64. El trabajo reduce la sobrecarga asociada con EFLAGS mediante análisis de vivacidad, mapeo de flags cuando las semánticas lo permiten y combinación de patrones de prueba y salto. Por su relación directa con x86/ARM64, constituye uno de los antecedentes técnicos más cercanos a la base de ejecución de Win2APK. A pesar de ello, tampoco aborda la configuración previa del entorno ni la generación de un paquete Android.</w:t>
      </w:r>
    </w:p>
    <w:p>
      <w:pPr>
        <w:keepLines w:val="0"/>
        <w:jc w:val="both"/>
      </w:pPr>
      <w:r>
        <w:rPr>
          <w:rFonts w:ascii="Calibri" w:hAnsi="Calibri"/>
          <w:b w:val="0"/>
          <w:i w:val="0"/>
          <w:sz w:val="22"/>
        </w:rPr>
        <w:t>La compatibilidad gráfica representa otra dimensión del problema. Lin et al. (2024) presentan Trinity, un sistema de emulación móvil que utiliza un espacio de proyección gráfica para reducir la comunicación síncrona entre el sistema huésped y el sistema emulado. La versión publicada en ACM Transactions on Computer Systems evalúa rendimiento, compatibilidad y confiabilidad mediante benchmarks gráficos y un conjunto amplio de aplicaciones. Reporta aproximadamente 97 % del rendimiento del hardware nativo y 99,3 % de soporte en su conjunto evaluado. Su escenario es Android emulado sobre PC o servidor, no una aplicación Windows ejecutada en un teléfono Android. Por ello, su principal aporte para Win2APK consiste en mostrar que los gráficos, el rendimiento y el diagnóstico de fallos deben formar parte de la evaluación.</w:t>
      </w:r>
    </w:p>
    <w:p>
      <w:pPr>
        <w:keepLines w:val="0"/>
        <w:jc w:val="both"/>
      </w:pPr>
      <w:r>
        <w:rPr>
          <w:rFonts w:ascii="Calibri" w:hAnsi="Calibri"/>
          <w:b w:val="0"/>
          <w:i w:val="0"/>
          <w:sz w:val="22"/>
        </w:rPr>
        <w:t>En conjunto, los estudios analizados ofrecen mecanismos para desarrollo multiplataforma, migración de software legado, traducción binaria, ejecución x86 sobre ARM y emulación gráfica. Sin embargo, dentro del corpus analizado no se identificó una propuesta orientada específicamente a automatizar el empaquetado de una aplicación Windows previamente preparada junto con su entorno de compatibilidad para generar un paquete distribuible en Android. Esta observación no afirma que no existan proyectos equivalentes fuera del corpus. Define únicamente la brecha observada en las fuentes seleccionadas.</w:t>
      </w:r>
    </w:p>
    <w:p>
      <w:pPr>
        <w:keepLines w:val="0"/>
        <w:jc w:val="both"/>
      </w:pPr>
      <w:r>
        <w:rPr>
          <w:rFonts w:ascii="Calibri" w:hAnsi="Calibri"/>
          <w:b w:val="0"/>
          <w:i w:val="0"/>
          <w:sz w:val="22"/>
        </w:rPr>
        <w:t>Win2APK pretende abordar esa brecha mediante una aplicación de escritorio tipo builder. Su aporte no consiste en desarrollar un nuevo traductor binario ni un emulador desde cero. La propuesta integra tecnologías existentes dentro de un proceso reproducible de validación, configuración, empaquetado y generación de un paquete Android. La viabilidad se evaluará con una aplicación Windows controlada, una arquitectura Android inicialmente arm64-v8a, una matriz limitada de dispositivos y métricas de construcción, instalación, inicio, interacción y errores.</w:t>
      </w:r>
    </w:p>
    <w:p>
      <w:pPr>
        <w:sectPr>
          <w:headerReference w:type="default" r:id="rId9"/>
          <w:footerReference w:type="default" r:id="rId10"/>
          <w:pgSz w:w="12240" w:h="15840"/>
          <w:pgMar w:top="1440" w:right="1440" w:bottom="1440" w:left="1440" w:header="708" w:footer="708" w:gutter="0"/>
          <w:cols w:space="720"/>
          <w:docGrid w:linePitch="360"/>
        </w:sectPr>
      </w:pPr>
    </w:p>
    <w:p>
      <w:pPr>
        <w:pStyle w:val="Caption"/>
        <w:spacing w:before="80" w:after="80"/>
        <w:jc w:val="left"/>
      </w:pPr>
      <w:r>
        <w:rPr>
          <w:rFonts w:ascii="Calibri" w:hAnsi="Calibri"/>
          <w:b/>
          <w:i w:val="0"/>
          <w:color w:val="404040"/>
          <w:sz w:val="20"/>
        </w:rPr>
        <w:t>Tabla 2. Comparación de estudios seleccionados</w:t>
      </w:r>
    </w:p>
    <w:tbl>
      <w:tblPr>
        <w:tblW w:type="dxa" w:w="14256"/>
        <w:jc w:val="left"/>
        <w:tblLayout w:type="fixed"/>
        <w:tblLook w:firstColumn="1" w:firstRow="1" w:lastColumn="0" w:lastRow="0" w:noHBand="0" w:noVBand="1" w:val="04A0"/>
        <w:tblInd w:w="0" w:type="dxa"/>
      </w:tblPr>
      <w:tblGrid>
        <w:gridCol w:w="1400"/>
        <w:gridCol w:w="2200"/>
        <w:gridCol w:w="1600"/>
        <w:gridCol w:w="1700"/>
        <w:gridCol w:w="1500"/>
        <w:gridCol w:w="2000"/>
        <w:gridCol w:w="1900"/>
        <w:gridCol w:w="1956"/>
      </w:tblGrid>
      <w:tr>
        <w:trPr>
          <w:tblHeader w:val="true"/>
        </w:trPr>
        <w:tc>
          <w:tcPr>
            <w:tcW w:type="dxa" w:w="1400"/>
            <w:tcMar>
              <w:top w:w="80" w:type="dxa"/>
              <w:start w:w="120" w:type="dxa"/>
              <w:bottom w:w="80" w:type="dxa"/>
              <w:end w:w="120" w:type="dxa"/>
            </w:tcMar>
            <w:vAlign w:val="top"/>
            <w:shd w:fill="E8EEF5"/>
          </w:tcPr>
          <w:p>
            <w:pPr>
              <w:spacing w:after="0"/>
            </w:pPr>
            <w:r>
              <w:rPr>
                <w:rFonts w:ascii="Calibri" w:hAnsi="Calibri"/>
                <w:b/>
                <w:i w:val="0"/>
                <w:color w:val="0B2545"/>
                <w:sz w:val="14"/>
              </w:rPr>
              <w:t>Autor(es) / año</w:t>
            </w:r>
          </w:p>
        </w:tc>
        <w:tc>
          <w:tcPr>
            <w:tcW w:type="dxa" w:w="2200"/>
            <w:tcMar>
              <w:top w:w="80" w:type="dxa"/>
              <w:start w:w="120" w:type="dxa"/>
              <w:bottom w:w="80" w:type="dxa"/>
              <w:end w:w="120" w:type="dxa"/>
            </w:tcMar>
            <w:vAlign w:val="top"/>
            <w:shd w:fill="E8EEF5"/>
          </w:tcPr>
          <w:p>
            <w:pPr>
              <w:spacing w:after="0"/>
            </w:pPr>
            <w:r>
              <w:rPr>
                <w:rFonts w:ascii="Calibri" w:hAnsi="Calibri"/>
                <w:b/>
                <w:i w:val="0"/>
                <w:color w:val="0B2545"/>
                <w:sz w:val="14"/>
              </w:rPr>
              <w:t>Título del estudio</w:t>
            </w:r>
          </w:p>
        </w:tc>
        <w:tc>
          <w:tcPr>
            <w:tcW w:type="dxa" w:w="1600"/>
            <w:tcMar>
              <w:top w:w="80" w:type="dxa"/>
              <w:start w:w="120" w:type="dxa"/>
              <w:bottom w:w="80" w:type="dxa"/>
              <w:end w:w="120" w:type="dxa"/>
            </w:tcMar>
            <w:vAlign w:val="top"/>
            <w:shd w:fill="E8EEF5"/>
          </w:tcPr>
          <w:p>
            <w:pPr>
              <w:spacing w:after="0"/>
            </w:pPr>
            <w:r>
              <w:rPr>
                <w:rFonts w:ascii="Calibri" w:hAnsi="Calibri"/>
                <w:b/>
                <w:i w:val="0"/>
                <w:color w:val="0B2545"/>
                <w:sz w:val="14"/>
              </w:rPr>
              <w:t>Objetivo principal</w:t>
            </w:r>
          </w:p>
        </w:tc>
        <w:tc>
          <w:tcPr>
            <w:tcW w:type="dxa" w:w="1700"/>
            <w:tcMar>
              <w:top w:w="80" w:type="dxa"/>
              <w:start w:w="120" w:type="dxa"/>
              <w:bottom w:w="80" w:type="dxa"/>
              <w:end w:w="120" w:type="dxa"/>
            </w:tcMar>
            <w:vAlign w:val="top"/>
            <w:shd w:fill="E8EEF5"/>
          </w:tcPr>
          <w:p>
            <w:pPr>
              <w:spacing w:after="0"/>
            </w:pPr>
            <w:r>
              <w:rPr>
                <w:rFonts w:ascii="Calibri" w:hAnsi="Calibri"/>
                <w:b/>
                <w:i w:val="0"/>
                <w:color w:val="0B2545"/>
                <w:sz w:val="14"/>
              </w:rPr>
              <w:t>Metodología</w:t>
            </w:r>
          </w:p>
        </w:tc>
        <w:tc>
          <w:tcPr>
            <w:tcW w:type="dxa" w:w="1500"/>
            <w:tcMar>
              <w:top w:w="80" w:type="dxa"/>
              <w:start w:w="120" w:type="dxa"/>
              <w:bottom w:w="80" w:type="dxa"/>
              <w:end w:w="120" w:type="dxa"/>
            </w:tcMar>
            <w:vAlign w:val="top"/>
            <w:shd w:fill="E8EEF5"/>
          </w:tcPr>
          <w:p>
            <w:pPr>
              <w:spacing w:after="0"/>
            </w:pPr>
            <w:r>
              <w:rPr>
                <w:rFonts w:ascii="Calibri" w:hAnsi="Calibri"/>
                <w:b/>
                <w:i w:val="0"/>
                <w:color w:val="0B2545"/>
                <w:sz w:val="14"/>
              </w:rPr>
              <w:t>Variables analizadas</w:t>
            </w:r>
          </w:p>
        </w:tc>
        <w:tc>
          <w:tcPr>
            <w:tcW w:type="dxa" w:w="2000"/>
            <w:tcMar>
              <w:top w:w="80" w:type="dxa"/>
              <w:start w:w="120" w:type="dxa"/>
              <w:bottom w:w="80" w:type="dxa"/>
              <w:end w:w="120" w:type="dxa"/>
            </w:tcMar>
            <w:vAlign w:val="top"/>
            <w:shd w:fill="E8EEF5"/>
          </w:tcPr>
          <w:p>
            <w:pPr>
              <w:spacing w:after="0"/>
            </w:pPr>
            <w:r>
              <w:rPr>
                <w:rFonts w:ascii="Calibri" w:hAnsi="Calibri"/>
                <w:b/>
                <w:i w:val="0"/>
                <w:color w:val="0B2545"/>
                <w:sz w:val="14"/>
              </w:rPr>
              <w:t>Principales hallazgos</w:t>
            </w:r>
          </w:p>
        </w:tc>
        <w:tc>
          <w:tcPr>
            <w:tcW w:type="dxa" w:w="1900"/>
            <w:tcMar>
              <w:top w:w="80" w:type="dxa"/>
              <w:start w:w="120" w:type="dxa"/>
              <w:bottom w:w="80" w:type="dxa"/>
              <w:end w:w="120" w:type="dxa"/>
            </w:tcMar>
            <w:vAlign w:val="top"/>
            <w:shd w:fill="E8EEF5"/>
          </w:tcPr>
          <w:p>
            <w:pPr>
              <w:spacing w:after="0"/>
            </w:pPr>
            <w:r>
              <w:rPr>
                <w:rFonts w:ascii="Calibri" w:hAnsi="Calibri"/>
                <w:b/>
                <w:i w:val="0"/>
                <w:color w:val="0B2545"/>
                <w:sz w:val="14"/>
              </w:rPr>
              <w:t>Limitaciones reportadas</w:t>
            </w:r>
          </w:p>
        </w:tc>
        <w:tc>
          <w:tcPr>
            <w:tcW w:type="dxa" w:w="1956"/>
            <w:tcMar>
              <w:top w:w="80" w:type="dxa"/>
              <w:start w:w="120" w:type="dxa"/>
              <w:bottom w:w="80" w:type="dxa"/>
              <w:end w:w="120" w:type="dxa"/>
            </w:tcMar>
            <w:vAlign w:val="top"/>
            <w:shd w:fill="E8EEF5"/>
          </w:tcPr>
          <w:p>
            <w:pPr>
              <w:spacing w:after="0"/>
            </w:pPr>
            <w:r>
              <w:rPr>
                <w:rFonts w:ascii="Calibri" w:hAnsi="Calibri"/>
                <w:b/>
                <w:i w:val="0"/>
                <w:color w:val="0B2545"/>
                <w:sz w:val="14"/>
              </w:rPr>
              <w:t>Relación con Win2APK</w:t>
            </w:r>
          </w:p>
        </w:tc>
      </w:tr>
      <w:tr>
        <w:tc>
          <w:tcPr>
            <w:tcW w:type="dxa" w:w="1400"/>
          </w:tcPr>
          <w:p>
            <w:pPr>
              <w:spacing w:after="0" w:line="240" w:lineRule="auto"/>
            </w:pPr>
            <w:r>
              <w:rPr>
                <w:rFonts w:ascii="Calibri" w:hAnsi="Calibri"/>
                <w:b w:val="0"/>
                <w:i w:val="0"/>
                <w:color w:val="202020"/>
                <w:sz w:val="13"/>
              </w:rPr>
              <w:t>Blanco y Lucrédio</w:t>
              <w:br/>
              <w:t>(2021)</w:t>
            </w:r>
          </w:p>
        </w:tc>
        <w:tc>
          <w:tcPr>
            <w:tcW w:type="dxa" w:w="2200"/>
          </w:tcPr>
          <w:p>
            <w:pPr>
              <w:spacing w:after="0" w:line="240" w:lineRule="auto"/>
            </w:pPr>
            <w:r>
              <w:rPr>
                <w:rFonts w:ascii="Calibri" w:hAnsi="Calibri"/>
                <w:b w:val="0"/>
                <w:i w:val="0"/>
                <w:color w:val="202020"/>
                <w:sz w:val="13"/>
              </w:rPr>
              <w:t>A holistic approach for cross-platform software development</w:t>
            </w:r>
          </w:p>
        </w:tc>
        <w:tc>
          <w:tcPr>
            <w:tcW w:type="dxa" w:w="1600"/>
          </w:tcPr>
          <w:p>
            <w:pPr>
              <w:spacing w:after="0" w:line="240" w:lineRule="auto"/>
            </w:pPr>
            <w:r>
              <w:rPr>
                <w:rFonts w:ascii="Calibri" w:hAnsi="Calibri"/>
                <w:b w:val="0"/>
                <w:i w:val="0"/>
                <w:color w:val="202020"/>
                <w:sz w:val="13"/>
              </w:rPr>
              <w:t>Crear un enfoque general para desarrollo multiplataforma.</w:t>
            </w:r>
          </w:p>
        </w:tc>
        <w:tc>
          <w:tcPr>
            <w:tcW w:type="dxa" w:w="1700"/>
          </w:tcPr>
          <w:p>
            <w:pPr>
              <w:spacing w:after="0" w:line="240" w:lineRule="auto"/>
            </w:pPr>
            <w:r>
              <w:rPr>
                <w:rFonts w:ascii="Calibri" w:hAnsi="Calibri"/>
                <w:b w:val="0"/>
                <w:i w:val="0"/>
                <w:color w:val="202020"/>
                <w:sz w:val="13"/>
              </w:rPr>
              <w:t>Lenguaje de propósito general, transformaciones automáticas y pruebas con desarrolladores.</w:t>
            </w:r>
          </w:p>
        </w:tc>
        <w:tc>
          <w:tcPr>
            <w:tcW w:type="dxa" w:w="1500"/>
          </w:tcPr>
          <w:p>
            <w:pPr>
              <w:spacing w:after="0" w:line="240" w:lineRule="auto"/>
            </w:pPr>
            <w:r>
              <w:rPr>
                <w:rFonts w:ascii="Calibri" w:hAnsi="Calibri"/>
                <w:b w:val="0"/>
                <w:i w:val="0"/>
                <w:color w:val="202020"/>
                <w:sz w:val="13"/>
              </w:rPr>
              <w:t>Reutilización, extensibilidad y experiencia de desarrollo.</w:t>
            </w:r>
          </w:p>
        </w:tc>
        <w:tc>
          <w:tcPr>
            <w:tcW w:type="dxa" w:w="2000"/>
          </w:tcPr>
          <w:p>
            <w:pPr>
              <w:spacing w:after="0" w:line="240" w:lineRule="auto"/>
            </w:pPr>
            <w:r>
              <w:rPr>
                <w:rFonts w:ascii="Calibri" w:hAnsi="Calibri"/>
                <w:b w:val="0"/>
                <w:i w:val="0"/>
                <w:color w:val="202020"/>
                <w:sz w:val="13"/>
              </w:rPr>
              <w:t>Evaluaciones con sistema recreado, usuarios expertos y principiantes. Apoya el uso de un entorno común.</w:t>
            </w:r>
          </w:p>
        </w:tc>
        <w:tc>
          <w:tcPr>
            <w:tcW w:type="dxa" w:w="1900"/>
          </w:tcPr>
          <w:p>
            <w:pPr>
              <w:spacing w:after="0" w:line="240" w:lineRule="auto"/>
            </w:pPr>
            <w:r>
              <w:rPr>
                <w:rFonts w:ascii="Calibri" w:hAnsi="Calibri"/>
                <w:b w:val="0"/>
                <w:i w:val="0"/>
                <w:color w:val="202020"/>
                <w:sz w:val="13"/>
              </w:rPr>
              <w:t>Parte del desarrollo del software y no de un binario Windows ya compilado.</w:t>
            </w:r>
          </w:p>
        </w:tc>
        <w:tc>
          <w:tcPr>
            <w:tcW w:type="dxa" w:w="1956"/>
          </w:tcPr>
          <w:p>
            <w:pPr>
              <w:spacing w:after="0" w:line="240" w:lineRule="auto"/>
            </w:pPr>
            <w:r>
              <w:rPr>
                <w:rFonts w:ascii="Calibri" w:hAnsi="Calibri"/>
                <w:b w:val="0"/>
                <w:i w:val="0"/>
                <w:color w:val="202020"/>
                <w:sz w:val="13"/>
              </w:rPr>
              <w:t>Contrasta el desarrollo multiplataforma con el empaquetado de aplicaciones existentes.</w:t>
            </w:r>
          </w:p>
        </w:tc>
      </w:tr>
      <w:tr>
        <w:tc>
          <w:tcPr>
            <w:tcW w:type="dxa" w:w="1400"/>
          </w:tcPr>
          <w:p>
            <w:pPr>
              <w:spacing w:after="0" w:line="240" w:lineRule="auto"/>
            </w:pPr>
            <w:r>
              <w:rPr>
                <w:rFonts w:ascii="Calibri" w:hAnsi="Calibri"/>
                <w:b w:val="0"/>
                <w:i w:val="0"/>
                <w:color w:val="202020"/>
                <w:sz w:val="13"/>
              </w:rPr>
              <w:t>Yarza et al.</w:t>
              <w:br/>
              <w:t>(2021)</w:t>
            </w:r>
          </w:p>
        </w:tc>
        <w:tc>
          <w:tcPr>
            <w:tcW w:type="dxa" w:w="2200"/>
          </w:tcPr>
          <w:p>
            <w:pPr>
              <w:spacing w:after="0" w:line="240" w:lineRule="auto"/>
            </w:pPr>
            <w:r>
              <w:rPr>
                <w:rFonts w:ascii="Calibri" w:hAnsi="Calibri"/>
                <w:b w:val="0"/>
                <w:i w:val="0"/>
                <w:color w:val="202020"/>
                <w:sz w:val="13"/>
              </w:rPr>
              <w:t>Legacy software migration based on timing contract aware real-time execution environments</w:t>
            </w:r>
          </w:p>
        </w:tc>
        <w:tc>
          <w:tcPr>
            <w:tcW w:type="dxa" w:w="1600"/>
          </w:tcPr>
          <w:p>
            <w:pPr>
              <w:spacing w:after="0" w:line="240" w:lineRule="auto"/>
            </w:pPr>
            <w:r>
              <w:rPr>
                <w:rFonts w:ascii="Calibri" w:hAnsi="Calibri"/>
                <w:b w:val="0"/>
                <w:i w:val="0"/>
                <w:color w:val="202020"/>
                <w:sz w:val="13"/>
              </w:rPr>
              <w:t>Migrar software legado conservando su comportamiento temporal.</w:t>
            </w:r>
          </w:p>
        </w:tc>
        <w:tc>
          <w:tcPr>
            <w:tcW w:type="dxa" w:w="1700"/>
          </w:tcPr>
          <w:p>
            <w:pPr>
              <w:spacing w:after="0" w:line="240" w:lineRule="auto"/>
            </w:pPr>
            <w:r>
              <w:rPr>
                <w:rFonts w:ascii="Calibri" w:hAnsi="Calibri"/>
                <w:b w:val="0"/>
                <w:i w:val="0"/>
                <w:color w:val="202020"/>
                <w:sz w:val="13"/>
              </w:rPr>
              <w:t>Traducción binaria y contratos formales de tiempo en sistemas embebidos.</w:t>
            </w:r>
          </w:p>
        </w:tc>
        <w:tc>
          <w:tcPr>
            <w:tcW w:type="dxa" w:w="1500"/>
          </w:tcPr>
          <w:p>
            <w:pPr>
              <w:spacing w:after="0" w:line="240" w:lineRule="auto"/>
            </w:pPr>
            <w:r>
              <w:rPr>
                <w:rFonts w:ascii="Calibri" w:hAnsi="Calibri"/>
                <w:b w:val="0"/>
                <w:i w:val="0"/>
                <w:color w:val="202020"/>
                <w:sz w:val="13"/>
              </w:rPr>
              <w:t>Tiempo de ejecución, comportamiento funcional y arquitecturas origen/destino.</w:t>
            </w:r>
          </w:p>
        </w:tc>
        <w:tc>
          <w:tcPr>
            <w:tcW w:type="dxa" w:w="2000"/>
          </w:tcPr>
          <w:p>
            <w:pPr>
              <w:spacing w:after="0" w:line="240" w:lineRule="auto"/>
            </w:pPr>
            <w:r>
              <w:rPr>
                <w:rFonts w:ascii="Calibri" w:hAnsi="Calibri"/>
                <w:b w:val="0"/>
                <w:i w:val="0"/>
                <w:color w:val="202020"/>
                <w:sz w:val="13"/>
              </w:rPr>
              <w:t>Propone una ruta para reutilizar software legado en hardware diferente.</w:t>
            </w:r>
          </w:p>
        </w:tc>
        <w:tc>
          <w:tcPr>
            <w:tcW w:type="dxa" w:w="1900"/>
          </w:tcPr>
          <w:p>
            <w:pPr>
              <w:spacing w:after="0" w:line="240" w:lineRule="auto"/>
            </w:pPr>
            <w:r>
              <w:rPr>
                <w:rFonts w:ascii="Calibri" w:hAnsi="Calibri"/>
                <w:b w:val="0"/>
                <w:i w:val="0"/>
                <w:color w:val="202020"/>
                <w:sz w:val="13"/>
              </w:rPr>
              <w:t>Se concentra en sistemas embebidos de tiempo real.</w:t>
            </w:r>
          </w:p>
        </w:tc>
        <w:tc>
          <w:tcPr>
            <w:tcW w:type="dxa" w:w="1956"/>
          </w:tcPr>
          <w:p>
            <w:pPr>
              <w:spacing w:after="0" w:line="240" w:lineRule="auto"/>
            </w:pPr>
            <w:r>
              <w:rPr>
                <w:rFonts w:ascii="Calibri" w:hAnsi="Calibri"/>
                <w:b w:val="0"/>
                <w:i w:val="0"/>
                <w:color w:val="202020"/>
                <w:sz w:val="13"/>
              </w:rPr>
              <w:t>Fundamenta la reutilización de software sin exigir una reescritura completa.</w:t>
            </w:r>
          </w:p>
        </w:tc>
      </w:tr>
      <w:tr>
        <w:tc>
          <w:tcPr>
            <w:tcW w:type="dxa" w:w="1400"/>
          </w:tcPr>
          <w:p>
            <w:pPr>
              <w:spacing w:after="0" w:line="240" w:lineRule="auto"/>
            </w:pPr>
            <w:r>
              <w:rPr>
                <w:rFonts w:ascii="Calibri" w:hAnsi="Calibri"/>
                <w:b w:val="0"/>
                <w:i w:val="0"/>
                <w:color w:val="202020"/>
                <w:sz w:val="13"/>
              </w:rPr>
              <w:t>Li et al.</w:t>
              <w:br/>
              <w:t>(2023)</w:t>
            </w:r>
          </w:p>
        </w:tc>
        <w:tc>
          <w:tcPr>
            <w:tcW w:type="dxa" w:w="2200"/>
          </w:tcPr>
          <w:p>
            <w:pPr>
              <w:spacing w:after="0" w:line="240" w:lineRule="auto"/>
            </w:pPr>
            <w:r>
              <w:rPr>
                <w:rFonts w:ascii="Calibri" w:hAnsi="Calibri"/>
                <w:b w:val="0"/>
                <w:i w:val="0"/>
                <w:color w:val="202020"/>
                <w:sz w:val="13"/>
              </w:rPr>
              <w:t>A Hardware Non-Invasive Mapping Method for Condition Bits in Binary Translation</w:t>
            </w:r>
          </w:p>
        </w:tc>
        <w:tc>
          <w:tcPr>
            <w:tcW w:type="dxa" w:w="1600"/>
          </w:tcPr>
          <w:p>
            <w:pPr>
              <w:spacing w:after="0" w:line="240" w:lineRule="auto"/>
            </w:pPr>
            <w:r>
              <w:rPr>
                <w:rFonts w:ascii="Calibri" w:hAnsi="Calibri"/>
                <w:b w:val="0"/>
                <w:i w:val="0"/>
                <w:color w:val="202020"/>
                <w:sz w:val="13"/>
              </w:rPr>
              <w:t>Mejorar la eficiencia de la traducción de bits de condición.</w:t>
            </w:r>
          </w:p>
        </w:tc>
        <w:tc>
          <w:tcPr>
            <w:tcW w:type="dxa" w:w="1700"/>
          </w:tcPr>
          <w:p>
            <w:pPr>
              <w:spacing w:after="0" w:line="240" w:lineRule="auto"/>
            </w:pPr>
            <w:r>
              <w:rPr>
                <w:rFonts w:ascii="Calibri" w:hAnsi="Calibri"/>
                <w:b w:val="0"/>
                <w:i w:val="0"/>
                <w:color w:val="202020"/>
                <w:sz w:val="13"/>
              </w:rPr>
              <w:t>Método HNIMCB implementado y evaluado mediante QEMU y benchmarks.</w:t>
            </w:r>
          </w:p>
        </w:tc>
        <w:tc>
          <w:tcPr>
            <w:tcW w:type="dxa" w:w="1500"/>
          </w:tcPr>
          <w:p>
            <w:pPr>
              <w:spacing w:after="0" w:line="240" w:lineRule="auto"/>
            </w:pPr>
            <w:r>
              <w:rPr>
                <w:rFonts w:ascii="Calibri" w:hAnsi="Calibri"/>
                <w:b w:val="0"/>
                <w:i w:val="0"/>
                <w:color w:val="202020"/>
                <w:sz w:val="13"/>
              </w:rPr>
              <w:t>Instrucciones traducidas, accesos a memoria y sobrecarga.</w:t>
            </w:r>
          </w:p>
        </w:tc>
        <w:tc>
          <w:tcPr>
            <w:tcW w:type="dxa" w:w="2000"/>
          </w:tcPr>
          <w:p>
            <w:pPr>
              <w:spacing w:after="0" w:line="240" w:lineRule="auto"/>
            </w:pPr>
            <w:r>
              <w:rPr>
                <w:rFonts w:ascii="Calibri" w:hAnsi="Calibri"/>
                <w:b w:val="0"/>
                <w:i w:val="0"/>
                <w:color w:val="202020"/>
                <w:sz w:val="13"/>
              </w:rPr>
              <w:t>Reporta 41 % menos instrucciones y 37 % menos instrucciones de acceso a memoria en su escenario ARM/RISC-V.</w:t>
            </w:r>
          </w:p>
        </w:tc>
        <w:tc>
          <w:tcPr>
            <w:tcW w:type="dxa" w:w="1900"/>
          </w:tcPr>
          <w:p>
            <w:pPr>
              <w:spacing w:after="0" w:line="240" w:lineRule="auto"/>
            </w:pPr>
            <w:r>
              <w:rPr>
                <w:rFonts w:ascii="Calibri" w:hAnsi="Calibri"/>
                <w:b w:val="0"/>
                <w:i w:val="0"/>
                <w:color w:val="202020"/>
                <w:sz w:val="13"/>
              </w:rPr>
              <w:t>No estudia Windows sobre Android ni un flujo de distribución de aplicaciones.</w:t>
            </w:r>
          </w:p>
        </w:tc>
        <w:tc>
          <w:tcPr>
            <w:tcW w:type="dxa" w:w="1956"/>
          </w:tcPr>
          <w:p>
            <w:pPr>
              <w:spacing w:after="0" w:line="240" w:lineRule="auto"/>
            </w:pPr>
            <w:r>
              <w:rPr>
                <w:rFonts w:ascii="Calibri" w:hAnsi="Calibri"/>
                <w:b w:val="0"/>
                <w:i w:val="0"/>
                <w:color w:val="202020"/>
                <w:sz w:val="13"/>
              </w:rPr>
              <w:t>Explica una dificultad interna del runtime que Win2APK reutiliza.</w:t>
            </w:r>
          </w:p>
        </w:tc>
      </w:tr>
      <w:tr>
        <w:tc>
          <w:tcPr>
            <w:tcW w:type="dxa" w:w="1400"/>
          </w:tcPr>
          <w:p>
            <w:pPr>
              <w:spacing w:after="0" w:line="240" w:lineRule="auto"/>
            </w:pPr>
            <w:r>
              <w:rPr>
                <w:rFonts w:ascii="Calibri" w:hAnsi="Calibri"/>
                <w:b w:val="0"/>
                <w:i w:val="0"/>
                <w:color w:val="202020"/>
                <w:sz w:val="13"/>
              </w:rPr>
              <w:t>Lin et al.</w:t>
              <w:br/>
              <w:t>(2024)</w:t>
            </w:r>
          </w:p>
        </w:tc>
        <w:tc>
          <w:tcPr>
            <w:tcW w:type="dxa" w:w="2200"/>
          </w:tcPr>
          <w:p>
            <w:pPr>
              <w:spacing w:after="0" w:line="240" w:lineRule="auto"/>
            </w:pPr>
            <w:r>
              <w:rPr>
                <w:rFonts w:ascii="Calibri" w:hAnsi="Calibri"/>
                <w:b w:val="0"/>
                <w:i w:val="0"/>
                <w:color w:val="202020"/>
                <w:sz w:val="13"/>
              </w:rPr>
              <w:t>Trinity: High-Performance and Reliable Mobile Emulation through Graphics Projection</w:t>
            </w:r>
          </w:p>
        </w:tc>
        <w:tc>
          <w:tcPr>
            <w:tcW w:type="dxa" w:w="1600"/>
          </w:tcPr>
          <w:p>
            <w:pPr>
              <w:spacing w:after="0" w:line="240" w:lineRule="auto"/>
            </w:pPr>
            <w:r>
              <w:rPr>
                <w:rFonts w:ascii="Calibri" w:hAnsi="Calibri"/>
                <w:b w:val="0"/>
                <w:i w:val="0"/>
                <w:color w:val="202020"/>
                <w:sz w:val="13"/>
              </w:rPr>
              <w:t>Mejorar rendimiento, compatibilidad y confiabilidad en emulación móvil.</w:t>
            </w:r>
          </w:p>
        </w:tc>
        <w:tc>
          <w:tcPr>
            <w:tcW w:type="dxa" w:w="1700"/>
          </w:tcPr>
          <w:p>
            <w:pPr>
              <w:spacing w:after="0" w:line="240" w:lineRule="auto"/>
            </w:pPr>
            <w:r>
              <w:rPr>
                <w:rFonts w:ascii="Calibri" w:hAnsi="Calibri"/>
                <w:b w:val="0"/>
                <w:i w:val="0"/>
                <w:color w:val="202020"/>
                <w:sz w:val="13"/>
              </w:rPr>
              <w:t>Implementación de emulador, benchmarks gráficos y evaluación con aplicaciones.</w:t>
            </w:r>
          </w:p>
        </w:tc>
        <w:tc>
          <w:tcPr>
            <w:tcW w:type="dxa" w:w="1500"/>
          </w:tcPr>
          <w:p>
            <w:pPr>
              <w:spacing w:after="0" w:line="240" w:lineRule="auto"/>
            </w:pPr>
            <w:r>
              <w:rPr>
                <w:rFonts w:ascii="Calibri" w:hAnsi="Calibri"/>
                <w:b w:val="0"/>
                <w:i w:val="0"/>
                <w:color w:val="202020"/>
                <w:sz w:val="13"/>
              </w:rPr>
              <w:t>Rendimiento, soporte de aplicaciones, llamadas gráficas y fallos.</w:t>
            </w:r>
          </w:p>
        </w:tc>
        <w:tc>
          <w:tcPr>
            <w:tcW w:type="dxa" w:w="2000"/>
          </w:tcPr>
          <w:p>
            <w:pPr>
              <w:spacing w:after="0" w:line="240" w:lineRule="auto"/>
            </w:pPr>
            <w:r>
              <w:rPr>
                <w:rFonts w:ascii="Calibri" w:hAnsi="Calibri"/>
                <w:b w:val="0"/>
                <w:i w:val="0"/>
                <w:color w:val="202020"/>
                <w:sz w:val="13"/>
              </w:rPr>
              <w:t>La versión de revista reporta cerca de 97 % de rendimiento nativo y 99,3 % de soporte en su conjunto evaluado.</w:t>
            </w:r>
          </w:p>
        </w:tc>
        <w:tc>
          <w:tcPr>
            <w:tcW w:type="dxa" w:w="1900"/>
          </w:tcPr>
          <w:p>
            <w:pPr>
              <w:spacing w:after="0" w:line="240" w:lineRule="auto"/>
            </w:pPr>
            <w:r>
              <w:rPr>
                <w:rFonts w:ascii="Calibri" w:hAnsi="Calibri"/>
                <w:b w:val="0"/>
                <w:i w:val="0"/>
                <w:color w:val="202020"/>
                <w:sz w:val="13"/>
              </w:rPr>
              <w:t>Emula Android sobre PC o servidor, no aplicaciones Windows sobre teléfonos Android.</w:t>
            </w:r>
          </w:p>
        </w:tc>
        <w:tc>
          <w:tcPr>
            <w:tcW w:type="dxa" w:w="1956"/>
          </w:tcPr>
          <w:p>
            <w:pPr>
              <w:spacing w:after="0" w:line="240" w:lineRule="auto"/>
            </w:pPr>
            <w:r>
              <w:rPr>
                <w:rFonts w:ascii="Calibri" w:hAnsi="Calibri"/>
                <w:b w:val="0"/>
                <w:i w:val="0"/>
                <w:color w:val="202020"/>
                <w:sz w:val="13"/>
              </w:rPr>
              <w:t>Evidencia la importancia de gráficos, rendimiento y diagnóstico.</w:t>
            </w:r>
          </w:p>
        </w:tc>
      </w:tr>
      <w:tr>
        <w:tc>
          <w:tcPr>
            <w:tcW w:type="dxa" w:w="1400"/>
          </w:tcPr>
          <w:p>
            <w:pPr>
              <w:spacing w:after="0" w:line="240" w:lineRule="auto"/>
            </w:pPr>
            <w:r>
              <w:rPr>
                <w:rFonts w:ascii="Calibri" w:hAnsi="Calibri"/>
                <w:b w:val="0"/>
                <w:i w:val="0"/>
                <w:color w:val="202020"/>
                <w:sz w:val="13"/>
              </w:rPr>
              <w:t>Yen et al.</w:t>
              <w:br/>
              <w:t>(2025)</w:t>
            </w:r>
          </w:p>
        </w:tc>
        <w:tc>
          <w:tcPr>
            <w:tcW w:type="dxa" w:w="2200"/>
          </w:tcPr>
          <w:p>
            <w:pPr>
              <w:spacing w:after="0" w:line="240" w:lineRule="auto"/>
            </w:pPr>
            <w:r>
              <w:rPr>
                <w:rFonts w:ascii="Calibri" w:hAnsi="Calibri"/>
                <w:b w:val="0"/>
                <w:i w:val="0"/>
                <w:color w:val="202020"/>
                <w:sz w:val="13"/>
              </w:rPr>
              <w:t>ARMing x86 Games: Accelerating Binary Translation Using Software-Only Validated Flag Speculation</w:t>
            </w:r>
          </w:p>
        </w:tc>
        <w:tc>
          <w:tcPr>
            <w:tcW w:type="dxa" w:w="1600"/>
          </w:tcPr>
          <w:p>
            <w:pPr>
              <w:spacing w:after="0" w:line="240" w:lineRule="auto"/>
            </w:pPr>
            <w:r>
              <w:rPr>
                <w:rFonts w:ascii="Calibri" w:hAnsi="Calibri"/>
                <w:b w:val="0"/>
                <w:i w:val="0"/>
                <w:color w:val="202020"/>
                <w:sz w:val="13"/>
              </w:rPr>
              <w:t>Acelerar la traducción de aplicaciones x86 para hardware ARM.</w:t>
            </w:r>
          </w:p>
        </w:tc>
        <w:tc>
          <w:tcPr>
            <w:tcW w:type="dxa" w:w="1700"/>
          </w:tcPr>
          <w:p>
            <w:pPr>
              <w:spacing w:after="0" w:line="240" w:lineRule="auto"/>
            </w:pPr>
            <w:r>
              <w:rPr>
                <w:rFonts w:ascii="Calibri" w:hAnsi="Calibri"/>
                <w:b w:val="0"/>
                <w:i w:val="0"/>
                <w:color w:val="202020"/>
                <w:sz w:val="13"/>
              </w:rPr>
              <w:t>Optimización de flags y pruebas con tareas computacionales y juegos. Estudio de conferencia indexado en Scopus.</w:t>
            </w:r>
          </w:p>
        </w:tc>
        <w:tc>
          <w:tcPr>
            <w:tcW w:type="dxa" w:w="1500"/>
          </w:tcPr>
          <w:p>
            <w:pPr>
              <w:spacing w:after="0" w:line="240" w:lineRule="auto"/>
            </w:pPr>
            <w:r>
              <w:rPr>
                <w:rFonts w:ascii="Calibri" w:hAnsi="Calibri"/>
                <w:b w:val="0"/>
                <w:i w:val="0"/>
                <w:color w:val="202020"/>
                <w:sz w:val="13"/>
              </w:rPr>
              <w:t>Sobrecarga de traducción, rendimiento computacional y FPS.</w:t>
            </w:r>
          </w:p>
        </w:tc>
        <w:tc>
          <w:tcPr>
            <w:tcW w:type="dxa" w:w="2000"/>
          </w:tcPr>
          <w:p>
            <w:pPr>
              <w:spacing w:after="0" w:line="240" w:lineRule="auto"/>
            </w:pPr>
            <w:r>
              <w:rPr>
                <w:rFonts w:ascii="Calibri" w:hAnsi="Calibri"/>
                <w:b w:val="0"/>
                <w:i w:val="0"/>
                <w:color w:val="202020"/>
                <w:sz w:val="13"/>
              </w:rPr>
              <w:t>Reporta mejoras de hasta 18 % y aumentos de FPS entre aproximadamente 7 % y más de 12 % en juegos evaluados.</w:t>
            </w:r>
          </w:p>
        </w:tc>
        <w:tc>
          <w:tcPr>
            <w:tcW w:type="dxa" w:w="1900"/>
          </w:tcPr>
          <w:p>
            <w:pPr>
              <w:spacing w:after="0" w:line="240" w:lineRule="auto"/>
            </w:pPr>
            <w:r>
              <w:rPr>
                <w:rFonts w:ascii="Calibri" w:hAnsi="Calibri"/>
                <w:b w:val="0"/>
                <w:i w:val="0"/>
                <w:color w:val="202020"/>
                <w:sz w:val="13"/>
              </w:rPr>
              <w:t>Optimiza la traducción, pero no automatiza el empaquetado Android.</w:t>
            </w:r>
          </w:p>
        </w:tc>
        <w:tc>
          <w:tcPr>
            <w:tcW w:type="dxa" w:w="1956"/>
          </w:tcPr>
          <w:p>
            <w:pPr>
              <w:spacing w:after="0" w:line="240" w:lineRule="auto"/>
            </w:pPr>
            <w:r>
              <w:rPr>
                <w:rFonts w:ascii="Calibri" w:hAnsi="Calibri"/>
                <w:b w:val="0"/>
                <w:i w:val="0"/>
                <w:color w:val="202020"/>
                <w:sz w:val="13"/>
              </w:rPr>
              <w:t>Refuerza la relevancia de Box64 y la traducción x86 hacia ARM.</w:t>
            </w:r>
          </w:p>
        </w:tc>
      </w:tr>
      <w:tr>
        <w:tc>
          <w:tcPr>
            <w:tcW w:type="dxa" w:w="1400"/>
          </w:tcPr>
          <w:p>
            <w:pPr>
              <w:spacing w:after="0" w:line="240" w:lineRule="auto"/>
            </w:pPr>
            <w:r>
              <w:rPr>
                <w:rFonts w:ascii="Calibri" w:hAnsi="Calibri"/>
                <w:b w:val="0"/>
                <w:i w:val="0"/>
                <w:color w:val="202020"/>
                <w:sz w:val="13"/>
              </w:rPr>
              <w:t>Yen et al.</w:t>
              <w:br/>
              <w:t>(2026)</w:t>
            </w:r>
          </w:p>
        </w:tc>
        <w:tc>
          <w:tcPr>
            <w:tcW w:type="dxa" w:w="2200"/>
          </w:tcPr>
          <w:p>
            <w:pPr>
              <w:spacing w:after="0" w:line="240" w:lineRule="auto"/>
            </w:pPr>
            <w:r>
              <w:rPr>
                <w:rFonts w:ascii="Calibri" w:hAnsi="Calibri"/>
                <w:b w:val="0"/>
                <w:i w:val="0"/>
                <w:color w:val="202020"/>
                <w:sz w:val="13"/>
              </w:rPr>
              <w:t>RISCing it All: Accelerating Binary Translation Using Software-Only Validated Flag Speculation</w:t>
            </w:r>
          </w:p>
        </w:tc>
        <w:tc>
          <w:tcPr>
            <w:tcW w:type="dxa" w:w="1600"/>
          </w:tcPr>
          <w:p>
            <w:pPr>
              <w:spacing w:after="0" w:line="240" w:lineRule="auto"/>
            </w:pPr>
            <w:r>
              <w:rPr>
                <w:rFonts w:ascii="Calibri" w:hAnsi="Calibri"/>
                <w:b w:val="0"/>
                <w:i w:val="0"/>
                <w:color w:val="202020"/>
                <w:sz w:val="13"/>
              </w:rPr>
              <w:t>Reducir la sobrecarga de flags en traducción x86 hacia ARM64.</w:t>
            </w:r>
          </w:p>
        </w:tc>
        <w:tc>
          <w:tcPr>
            <w:tcW w:type="dxa" w:w="1700"/>
          </w:tcPr>
          <w:p>
            <w:pPr>
              <w:spacing w:after="0" w:line="240" w:lineRule="auto"/>
            </w:pPr>
            <w:r>
              <w:rPr>
                <w:rFonts w:ascii="Calibri" w:hAnsi="Calibri"/>
                <w:b w:val="0"/>
                <w:i w:val="0"/>
                <w:color w:val="202020"/>
                <w:sz w:val="13"/>
              </w:rPr>
              <w:t>Framework Cascade sobre Box64, análisis de vivacidad y evaluación con benchmarks.</w:t>
            </w:r>
          </w:p>
        </w:tc>
        <w:tc>
          <w:tcPr>
            <w:tcW w:type="dxa" w:w="1500"/>
          </w:tcPr>
          <w:p>
            <w:pPr>
              <w:spacing w:after="0" w:line="240" w:lineRule="auto"/>
            </w:pPr>
            <w:r>
              <w:rPr>
                <w:rFonts w:ascii="Calibri" w:hAnsi="Calibri"/>
                <w:b w:val="0"/>
                <w:i w:val="0"/>
                <w:color w:val="202020"/>
                <w:sz w:val="13"/>
              </w:rPr>
              <w:t>Instrucciones, rendimiento de CPU, rendimiento gráfico y overhead de flags.</w:t>
            </w:r>
          </w:p>
        </w:tc>
        <w:tc>
          <w:tcPr>
            <w:tcW w:type="dxa" w:w="2000"/>
          </w:tcPr>
          <w:p>
            <w:pPr>
              <w:spacing w:after="0" w:line="240" w:lineRule="auto"/>
            </w:pPr>
            <w:r>
              <w:rPr>
                <w:rFonts w:ascii="Calibri" w:hAnsi="Calibri"/>
                <w:b w:val="0"/>
                <w:i w:val="0"/>
                <w:color w:val="202020"/>
                <w:sz w:val="13"/>
              </w:rPr>
              <w:t>Presenta optimizaciones directas para x86/ARM64 y es el antecedente de revista más cercano al problema de arquitectura.</w:t>
            </w:r>
          </w:p>
        </w:tc>
        <w:tc>
          <w:tcPr>
            <w:tcW w:type="dxa" w:w="1900"/>
          </w:tcPr>
          <w:p>
            <w:pPr>
              <w:spacing w:after="0" w:line="240" w:lineRule="auto"/>
            </w:pPr>
            <w:r>
              <w:rPr>
                <w:rFonts w:ascii="Calibri" w:hAnsi="Calibri"/>
                <w:b w:val="0"/>
                <w:i w:val="0"/>
                <w:color w:val="202020"/>
                <w:sz w:val="13"/>
              </w:rPr>
              <w:t>No resuelve la configuración, el empaquetado ni la distribución del runtime.</w:t>
            </w:r>
          </w:p>
        </w:tc>
        <w:tc>
          <w:tcPr>
            <w:tcW w:type="dxa" w:w="1956"/>
          </w:tcPr>
          <w:p>
            <w:pPr>
              <w:spacing w:after="0" w:line="240" w:lineRule="auto"/>
            </w:pPr>
            <w:r>
              <w:rPr>
                <w:rFonts w:ascii="Calibri" w:hAnsi="Calibri"/>
                <w:b w:val="0"/>
                <w:i w:val="0"/>
                <w:color w:val="202020"/>
                <w:sz w:val="13"/>
              </w:rPr>
              <w:t>Sustenta la selección de Box64 como tecnología habilitadora, no como aporte propio.</w:t>
            </w:r>
          </w:p>
        </w:tc>
      </w:tr>
    </w:tbl>
    <w:p>
      <w:pPr>
        <w:pStyle w:val="Caption"/>
        <w:spacing w:before="80" w:after="80"/>
        <w:jc w:val="left"/>
      </w:pPr>
      <w:r>
        <w:rPr>
          <w:rFonts w:ascii="Calibri" w:hAnsi="Calibri"/>
          <w:b/>
          <w:i w:val="0"/>
          <w:color w:val="404040"/>
          <w:sz w:val="20"/>
        </w:rPr>
        <w:t>Fuentes bibliográficas base</w:t>
      </w:r>
    </w:p>
    <w:p>
      <w:pPr>
        <w:spacing w:after="80" w:line="264" w:lineRule="auto"/>
        <w:ind w:left="360" w:hanging="360"/>
      </w:pPr>
      <w:r>
        <w:rPr>
          <w:rFonts w:ascii="Calibri" w:hAnsi="Calibri"/>
          <w:b w:val="0"/>
          <w:i w:val="0"/>
          <w:sz w:val="16"/>
        </w:rPr>
        <w:t>Page, M. J., et al. (2021). The PRISMA 2020 statement: an updated guideline for reporting systematic reviews. BMJ, 372, n71. https://doi.org/10.1136/bmj.n71</w:t>
      </w:r>
    </w:p>
    <w:p>
      <w:pPr>
        <w:spacing w:after="80" w:line="264" w:lineRule="auto"/>
        <w:ind w:left="360" w:hanging="360"/>
      </w:pPr>
      <w:r>
        <w:rPr>
          <w:rFonts w:ascii="Calibri" w:hAnsi="Calibri"/>
          <w:b w:val="0"/>
          <w:i w:val="0"/>
          <w:sz w:val="16"/>
        </w:rPr>
        <w:t>Blanco, J. Z., y Lucrédio, D. (2021). A holistic approach for cross-platform software development. Journal of Systems and Software, 179, 110985. https://doi.org/10.1016/j.jss.2021.110985</w:t>
      </w:r>
    </w:p>
    <w:p>
      <w:pPr>
        <w:spacing w:after="80" w:line="264" w:lineRule="auto"/>
        <w:ind w:left="360" w:hanging="360"/>
      </w:pPr>
      <w:r>
        <w:rPr>
          <w:rFonts w:ascii="Calibri" w:hAnsi="Calibri"/>
          <w:b w:val="0"/>
          <w:i w:val="0"/>
          <w:sz w:val="16"/>
        </w:rPr>
        <w:t>Yarza, I., et al. (2021). Legacy software migration based on timing contract aware real-time execution environments. Journal of Systems and Software, 172, 110849. https://doi.org/10.1016/j.jss.2020.110849</w:t>
      </w:r>
    </w:p>
    <w:p>
      <w:pPr>
        <w:spacing w:after="80" w:line="264" w:lineRule="auto"/>
        <w:ind w:left="360" w:hanging="360"/>
      </w:pPr>
      <w:r>
        <w:rPr>
          <w:rFonts w:ascii="Calibri" w:hAnsi="Calibri"/>
          <w:b w:val="0"/>
          <w:i w:val="0"/>
          <w:sz w:val="16"/>
        </w:rPr>
        <w:t>Loginov, I. P., Dergachev, A. M., y Pavlovskiy, E. A. (2020). Software portability based on retargetable runtime environment. Scientific and Technical Journal of Information Technologies, Mechanics and Optics, 20(3), 410-417. https://doi.org/10.17586/2226-1494-2020-20-3-410-417</w:t>
      </w:r>
    </w:p>
    <w:p>
      <w:pPr>
        <w:spacing w:after="80" w:line="264" w:lineRule="auto"/>
        <w:ind w:left="360" w:hanging="360"/>
      </w:pPr>
      <w:r>
        <w:rPr>
          <w:rFonts w:ascii="Calibri" w:hAnsi="Calibri"/>
          <w:b w:val="0"/>
          <w:i w:val="0"/>
          <w:sz w:val="16"/>
        </w:rPr>
        <w:t>Li, C., et al. (2023). A Hardware Non-Invasive Mapping Method for Condition Bits in Binary Translation. Electronics, 12(14), 3014. https://doi.org/10.3390/electronics12143014</w:t>
      </w:r>
    </w:p>
    <w:p>
      <w:pPr>
        <w:spacing w:after="80" w:line="264" w:lineRule="auto"/>
        <w:ind w:left="360" w:hanging="360"/>
      </w:pPr>
      <w:r>
        <w:rPr>
          <w:rFonts w:ascii="Calibri" w:hAnsi="Calibri"/>
          <w:b w:val="0"/>
          <w:i w:val="0"/>
          <w:sz w:val="16"/>
        </w:rPr>
        <w:t>Lin, H., et al. (2024). Trinity: High-Performance and Reliable Mobile Emulation through Graphics Projection. ACM Transactions on Computer Systems, 42(3-4). https://doi.org/10.1145/3643029</w:t>
      </w:r>
    </w:p>
    <w:p>
      <w:pPr>
        <w:spacing w:after="80" w:line="264" w:lineRule="auto"/>
        <w:ind w:left="360" w:hanging="360"/>
      </w:pPr>
      <w:r>
        <w:rPr>
          <w:rFonts w:ascii="Calibri" w:hAnsi="Calibri"/>
          <w:b w:val="0"/>
          <w:i w:val="0"/>
          <w:sz w:val="16"/>
        </w:rPr>
        <w:t>Yen, J., et al. (2025). ARMing x86 Games: Accelerating Binary Translation Using Software-Only Validated Flag Speculation. MobiSys 2025, 183-195. https://doi.org/10.1145/3711875.3729163</w:t>
      </w:r>
    </w:p>
    <w:p>
      <w:pPr>
        <w:spacing w:after="80" w:line="264" w:lineRule="auto"/>
        <w:ind w:left="360" w:hanging="360"/>
      </w:pPr>
      <w:r>
        <w:rPr>
          <w:rFonts w:ascii="Calibri" w:hAnsi="Calibri"/>
          <w:b w:val="0"/>
          <w:i w:val="0"/>
          <w:sz w:val="16"/>
        </w:rPr>
        <w:t>Yen, J., et al. (2026). RISCing it All: Accelerating Binary Translation Using Software-Only Validated Flag Speculation. IEEE Transactions on Mobile Computing. https://doi.org/10.1109/TMC.2026.3718184</w:t>
      </w:r>
    </w:p>
    <w:p>
      <w:pPr/>
      <w:r>
        <w:t>Matriz ampliada de fuentes: outputs/prisma_screening_union_20260830/Matriz_cribado_PRISMA_Win2APK_union_533_bibliografia_20260830.xlsx. Inventario local y criterios: ejecuciones/22-revision-bibliografia-local-20260830/.</w:t>
      </w:r>
    </w:p>
    <w:sectPr w:rsidR="00FC693F" w:rsidRPr="0006063C" w:rsidSect="00034616">
      <w:headerReference w:type="default" r:id="rId11"/>
      <w:footerReference w:type="default" r:id="rId12"/>
      <w:pgSz w:w="15840" w:h="12240" w:orient="landscape"/>
      <w:pgMar w:top="936" w:right="792" w:bottom="936" w:left="79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b w:val="0"/>
        <w:i w:val="0"/>
        <w:color w:val="666666"/>
        <w:sz w:val="18"/>
      </w:rPr>
      <w:t xml:space="preserve">Win2APK | Estado del arte | </w:t>
    </w:r>
    <w:r>
      <w:rPr>
        <w:rFonts w:ascii="Calibri" w:hAnsi="Calibri"/>
        <w:b w:val="0"/>
        <w:i w:val="0"/>
        <w:color w:val="666666"/>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b w:val="0"/>
        <w:i w:val="0"/>
        <w:color w:val="666666"/>
        <w:sz w:val="17"/>
      </w:rPr>
      <w:t xml:space="preserve">Estado del arte | </w:t>
    </w:r>
    <w:r>
      <w:rPr>
        <w:rFonts w:ascii="Calibri" w:hAnsi="Calibri"/>
        <w:b w:val="0"/>
        <w:i w:val="0"/>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val="0"/>
        <w:i w:val="0"/>
        <w:color w:val="666666"/>
        <w:sz w:val="17"/>
      </w:rPr>
      <w:t>Win2APK | Matriz comparativa de antecedentes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0404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40" w:lineRule="auto" w:after="120"/>
      <w:ind w:left="360" w:right="360"/>
    </w:pPr>
    <w:rPr>
      <w:rFonts w:ascii="Consolas" w:hAnsi="Consolas"/>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Estado del arte de Win2APK</dc:title>
  <dc:subject>Revisión sistemática PRISMA sobre portabilidad, traducción binaria y emulación</dc:subject>
  <dc:creator>Win2APK</dc:creator>
  <cp:keywords/>
  <dc:description>Documento generado a partir de los CSV suministrados para la revisión.</dc:description>
  <cp:lastModifiedBy/>
  <cp:revision>1</cp:revision>
  <dcterms:created xsi:type="dcterms:W3CDTF">2013-12-23T23:15:00Z</dcterms:created>
  <dcterms:modified xsi:type="dcterms:W3CDTF">2013-12-23T23:15:00Z</dcterms:modified>
  <cp:category/>
</cp:coreProperties>
</file>