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Informe del Análisis Sísmico</w:t>
      </w:r>
    </w:p>
    <w:p>
      <w:r>
        <w:t xml:space="preserve">Realizado por </w:t>
      </w:r>
      <w:r>
        <w:rPr>
          <w:b/>
        </w:rPr>
        <w:t>JPI Ingeniería e Innovación SAC</w:t>
      </w:r>
      <w:r>
        <w:t xml:space="preserve"> para el curso </w:t>
      </w:r>
      <w:r>
        <w:rPr>
          <w:i/>
        </w:rPr>
        <w:t>ASEP.</w:t>
      </w:r>
    </w:p>
    <w:p>
      <w:r>
        <w:t>Edificio Analizado - vista 3D:</w:t>
      </w:r>
    </w:p>
    <w:p>
      <w:r>
        <w:drawing>
          <wp:inline xmlns:a="http://schemas.openxmlformats.org/drawingml/2006/main" xmlns:pic="http://schemas.openxmlformats.org/drawingml/2006/picture">
            <wp:extent cx="4572000" cy="380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o_3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Edificación de Categoría Tipo C.</w:t>
      </w:r>
    </w:p>
    <w:p>
      <w:pPr>
        <w:pStyle w:val="Heading1"/>
      </w:pPr>
      <w:r>
        <w:t>Generalidades</w:t>
      </w:r>
    </w:p>
    <w:p>
      <w:pPr>
        <w:pStyle w:val="IntenseQuote"/>
      </w:pPr>
      <w:r>
        <w:t>Metrado de Cargas</w:t>
      </w:r>
    </w:p>
    <w:p>
      <w:r>
        <w:t>Para el metrado de cargas se consideró las siguientes cargas distribuidas:</w:t>
      </w:r>
    </w:p>
    <w:p>
      <w:pPr>
        <w:pStyle w:val="ListBullet"/>
      </w:pPr>
      <w:r>
        <w:t>Carga Viva:</w:t>
        <w:tab/>
        <w:tab/>
        <w:tab/>
        <w:tab/>
        <w:t>250 kg/m2</w:t>
      </w:r>
    </w:p>
    <w:p>
      <w:pPr>
        <w:pStyle w:val="ListBullet"/>
      </w:pPr>
      <w:r>
        <w:t>Carga de Losa:</w:t>
        <w:tab/>
        <w:tab/>
        <w:tab/>
        <w:t>300 kg/m2</w:t>
      </w:r>
    </w:p>
    <w:p>
      <w:pPr>
        <w:pStyle w:val="ListBullet"/>
      </w:pPr>
      <w:r>
        <w:t>Carga de Acabados:</w:t>
        <w:tab/>
        <w:tab/>
        <w:t>100 kg/m2</w:t>
      </w:r>
    </w:p>
    <w:p>
      <w:pPr>
        <w:pStyle w:val="ListBullet"/>
      </w:pPr>
      <w:r>
        <w:t>Carga de Tabiquería:</w:t>
        <w:tab/>
        <w:tab/>
        <w:t>150 kg/m2</w:t>
      </w:r>
    </w:p>
    <w:p>
      <w:r>
        <w:drawing>
          <wp:inline xmlns:a="http://schemas.openxmlformats.org/drawingml/2006/main" xmlns:pic="http://schemas.openxmlformats.org/drawingml/2006/picture">
            <wp:extent cx="4572000" cy="38091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o_numeric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1: Modelo Numérico para el Análisis.</w:t>
      </w:r>
    </w:p>
    <w:p>
      <w:pPr>
        <w:pStyle w:val="Heading1"/>
      </w:pPr>
      <w:r>
        <w:t>Análisis Modal</w:t>
      </w:r>
    </w:p>
    <w:p>
      <w:pPr>
        <w:pStyle w:val="IntenseQuote"/>
      </w:pPr>
      <w:r>
        <w:t>Modos de Vibración</w:t>
      </w:r>
    </w:p>
    <w:p>
      <w:pPr>
        <w:jc w:val="center"/>
      </w:pPr>
      <w:r>
        <w:br/>
        <w:t>Tabla 1: Factor de Participación de Masas.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Modo</w:t>
            </w:r>
          </w:p>
        </w:tc>
        <w:tc>
          <w:tcPr>
            <w:tcW w:type="dxa" w:w="1728"/>
          </w:tcPr>
          <w:p>
            <w:r>
              <w:t>T(s)</w:t>
            </w:r>
          </w:p>
        </w:tc>
        <w:tc>
          <w:tcPr>
            <w:tcW w:type="dxa" w:w="1728"/>
          </w:tcPr>
          <w:p>
            <w:r>
              <w:t>SumUx</w:t>
            </w:r>
          </w:p>
        </w:tc>
        <w:tc>
          <w:tcPr>
            <w:tcW w:type="dxa" w:w="1728"/>
          </w:tcPr>
          <w:p>
            <w:r>
              <w:t>SumUy</w:t>
            </w:r>
          </w:p>
        </w:tc>
        <w:tc>
          <w:tcPr>
            <w:tcW w:type="dxa" w:w="1728"/>
          </w:tcPr>
          <w:p>
            <w:r>
              <w:t>SumRz</w:t>
            </w:r>
          </w:p>
        </w:tc>
      </w:tr>
      <w:tr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0.3197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0.8346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2.0</w:t>
            </w:r>
          </w:p>
        </w:tc>
        <w:tc>
          <w:tcPr>
            <w:tcW w:type="dxa" w:w="1728"/>
          </w:tcPr>
          <w:p>
            <w:r>
              <w:t>0.3083</w:t>
            </w:r>
          </w:p>
        </w:tc>
        <w:tc>
          <w:tcPr>
            <w:tcW w:type="dxa" w:w="1728"/>
          </w:tcPr>
          <w:p>
            <w:r>
              <w:t>0.8394</w:t>
            </w:r>
          </w:p>
        </w:tc>
        <w:tc>
          <w:tcPr>
            <w:tcW w:type="dxa" w:w="1728"/>
          </w:tcPr>
          <w:p>
            <w:r>
              <w:t>0.8346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0.272</w:t>
            </w:r>
          </w:p>
        </w:tc>
        <w:tc>
          <w:tcPr>
            <w:tcW w:type="dxa" w:w="1728"/>
          </w:tcPr>
          <w:p>
            <w:r>
              <w:t>0.8394</w:t>
            </w:r>
          </w:p>
        </w:tc>
        <w:tc>
          <w:tcPr>
            <w:tcW w:type="dxa" w:w="1728"/>
          </w:tcPr>
          <w:p>
            <w:r>
              <w:t>0.8346</w:t>
            </w:r>
          </w:p>
        </w:tc>
        <w:tc>
          <w:tcPr>
            <w:tcW w:type="dxa" w:w="1728"/>
          </w:tcPr>
          <w:p>
            <w:r>
              <w:t>0.8411</w:t>
            </w:r>
          </w:p>
        </w:tc>
      </w:tr>
      <w:tr>
        <w:tc>
          <w:tcPr>
            <w:tcW w:type="dxa" w:w="1728"/>
          </w:tcPr>
          <w:p>
            <w:r>
              <w:t>4.0</w:t>
            </w:r>
          </w:p>
        </w:tc>
        <w:tc>
          <w:tcPr>
            <w:tcW w:type="dxa" w:w="1728"/>
          </w:tcPr>
          <w:p>
            <w:r>
              <w:t>0.0937</w:t>
            </w:r>
          </w:p>
        </w:tc>
        <w:tc>
          <w:tcPr>
            <w:tcW w:type="dxa" w:w="1728"/>
          </w:tcPr>
          <w:p>
            <w:r>
              <w:t>0.8394</w:t>
            </w:r>
          </w:p>
        </w:tc>
        <w:tc>
          <w:tcPr>
            <w:tcW w:type="dxa" w:w="1728"/>
          </w:tcPr>
          <w:p>
            <w:r>
              <w:t>0.9622</w:t>
            </w:r>
          </w:p>
        </w:tc>
        <w:tc>
          <w:tcPr>
            <w:tcW w:type="dxa" w:w="1728"/>
          </w:tcPr>
          <w:p>
            <w:r>
              <w:t>0.8411</w:t>
            </w:r>
          </w:p>
        </w:tc>
      </w:tr>
      <w:tr>
        <w:tc>
          <w:tcPr>
            <w:tcW w:type="dxa" w:w="1728"/>
          </w:tcPr>
          <w:p>
            <w:r>
              <w:t>5.0</w:t>
            </w:r>
          </w:p>
        </w:tc>
        <w:tc>
          <w:tcPr>
            <w:tcW w:type="dxa" w:w="1728"/>
          </w:tcPr>
          <w:p>
            <w:r>
              <w:t>0.0916</w:t>
            </w:r>
          </w:p>
        </w:tc>
        <w:tc>
          <w:tcPr>
            <w:tcW w:type="dxa" w:w="1728"/>
          </w:tcPr>
          <w:p>
            <w:r>
              <w:t>0.9637</w:t>
            </w:r>
          </w:p>
        </w:tc>
        <w:tc>
          <w:tcPr>
            <w:tcW w:type="dxa" w:w="1728"/>
          </w:tcPr>
          <w:p>
            <w:r>
              <w:t>0.9622</w:t>
            </w:r>
          </w:p>
        </w:tc>
        <w:tc>
          <w:tcPr>
            <w:tcW w:type="dxa" w:w="1728"/>
          </w:tcPr>
          <w:p>
            <w:r>
              <w:t>0.8411</w:t>
            </w:r>
          </w:p>
        </w:tc>
      </w:tr>
      <w:tr>
        <w:tc>
          <w:tcPr>
            <w:tcW w:type="dxa" w:w="1728"/>
          </w:tcPr>
          <w:p>
            <w:r>
              <w:t>6.0</w:t>
            </w:r>
          </w:p>
        </w:tc>
        <w:tc>
          <w:tcPr>
            <w:tcW w:type="dxa" w:w="1728"/>
          </w:tcPr>
          <w:p>
            <w:r>
              <w:t>0.0816</w:t>
            </w:r>
          </w:p>
        </w:tc>
        <w:tc>
          <w:tcPr>
            <w:tcW w:type="dxa" w:w="1728"/>
          </w:tcPr>
          <w:p>
            <w:r>
              <w:t>0.9637</w:t>
            </w:r>
          </w:p>
        </w:tc>
        <w:tc>
          <w:tcPr>
            <w:tcW w:type="dxa" w:w="1728"/>
          </w:tcPr>
          <w:p>
            <w:r>
              <w:t>0.9622</w:t>
            </w:r>
          </w:p>
        </w:tc>
        <w:tc>
          <w:tcPr>
            <w:tcW w:type="dxa" w:w="1728"/>
          </w:tcPr>
          <w:p>
            <w:r>
              <w:t>0.9636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4572000" cy="342778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o_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2: Primer modo de vibración.</w:t>
      </w:r>
    </w:p>
    <w:p>
      <w:r>
        <w:drawing>
          <wp:inline xmlns:a="http://schemas.openxmlformats.org/drawingml/2006/main" xmlns:pic="http://schemas.openxmlformats.org/drawingml/2006/picture">
            <wp:extent cx="4572000" cy="342778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o_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3: Segundo modo de vibración.</w:t>
      </w:r>
    </w:p>
    <w:p>
      <w:r>
        <w:drawing>
          <wp:inline xmlns:a="http://schemas.openxmlformats.org/drawingml/2006/main" xmlns:pic="http://schemas.openxmlformats.org/drawingml/2006/picture">
            <wp:extent cx="4572000" cy="342778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o_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4: Tercer modo de vibración.</w:t>
      </w:r>
    </w:p>
    <w:p>
      <w:pPr>
        <w:pStyle w:val="Heading1"/>
      </w:pPr>
      <w:r>
        <w:t>Análisis Sísmico</w:t>
      </w:r>
    </w:p>
    <w:p>
      <w:pPr>
        <w:pStyle w:val="IntenseQuote"/>
      </w:pPr>
      <w:r>
        <w:t>Análisis Estático</w:t>
      </w:r>
    </w:p>
    <w:p>
      <w:pPr>
        <w:jc w:val="both"/>
      </w:pPr>
      <w:r>
        <w:t>Las fuerzas distribuidas en altura del análisis estático se obtinen a partir del coeficiente basal (0.1406) y el exponente k relacionado al periodo fundamental (1.0000). A continuación, se muestran las fuerzas y los desplazamientos obtenidos del análisis estático en la dirección X e Y.</w:t>
      </w:r>
    </w:p>
    <w:p>
      <w:pPr>
        <w:jc w:val="center"/>
      </w:pPr>
      <w:r>
        <w:t>Tabla 2: Fuerzas y desplazamientos del análisis estático en X.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Nivel</w:t>
            </w:r>
          </w:p>
        </w:tc>
        <w:tc>
          <w:tcPr>
            <w:tcW w:type="dxa" w:w="1440"/>
          </w:tcPr>
          <w:p>
            <w:r>
              <w:t>Vx(ton)</w:t>
            </w:r>
          </w:p>
        </w:tc>
        <w:tc>
          <w:tcPr>
            <w:tcW w:type="dxa" w:w="1440"/>
          </w:tcPr>
          <w:p>
            <w:r>
              <w:t>UxMax(cm)</w:t>
            </w:r>
          </w:p>
        </w:tc>
        <w:tc>
          <w:tcPr>
            <w:tcW w:type="dxa" w:w="1440"/>
          </w:tcPr>
          <w:p>
            <w:r>
              <w:t>UyMax(cm)</w:t>
            </w:r>
          </w:p>
        </w:tc>
        <w:tc>
          <w:tcPr>
            <w:tcW w:type="dxa" w:w="1440"/>
          </w:tcPr>
          <w:p>
            <w:r>
              <w:t>DriftX(‰)</w:t>
            </w:r>
          </w:p>
        </w:tc>
        <w:tc>
          <w:tcPr>
            <w:tcW w:type="dxa" w:w="1440"/>
          </w:tcPr>
          <w:p>
            <w:r>
              <w:t>DriftY(‰)</w:t>
            </w:r>
          </w:p>
        </w:tc>
      </w:tr>
      <w:tr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18.8041</w:t>
            </w:r>
          </w:p>
        </w:tc>
        <w:tc>
          <w:tcPr>
            <w:tcW w:type="dxa" w:w="1440"/>
          </w:tcPr>
          <w:p>
            <w:r>
              <w:t>3.1527</w:t>
            </w:r>
          </w:p>
        </w:tc>
        <w:tc>
          <w:tcPr>
            <w:tcW w:type="dxa" w:w="1440"/>
          </w:tcPr>
          <w:p>
            <w:r>
              <w:t>0.2264</w:t>
            </w:r>
          </w:p>
        </w:tc>
        <w:tc>
          <w:tcPr>
            <w:tcW w:type="dxa" w:w="1440"/>
          </w:tcPr>
          <w:p>
            <w:r>
              <w:t>3.0097</w:t>
            </w:r>
          </w:p>
        </w:tc>
        <w:tc>
          <w:tcPr>
            <w:tcW w:type="dxa" w:w="1440"/>
          </w:tcPr>
          <w:p>
            <w:r>
              <w:t>0.2144</w:t>
            </w:r>
          </w:p>
        </w:tc>
      </w:tr>
      <w:tr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32.8883</w:t>
            </w:r>
          </w:p>
        </w:tc>
        <w:tc>
          <w:tcPr>
            <w:tcW w:type="dxa" w:w="1440"/>
          </w:tcPr>
          <w:p>
            <w:r>
              <w:t>2.2498</w:t>
            </w:r>
          </w:p>
        </w:tc>
        <w:tc>
          <w:tcPr>
            <w:tcW w:type="dxa" w:w="1440"/>
          </w:tcPr>
          <w:p>
            <w:r>
              <w:t>0.1621</w:t>
            </w:r>
          </w:p>
        </w:tc>
        <w:tc>
          <w:tcPr>
            <w:tcW w:type="dxa" w:w="1440"/>
          </w:tcPr>
          <w:p>
            <w:r>
              <w:t>4.3851</w:t>
            </w:r>
          </w:p>
        </w:tc>
        <w:tc>
          <w:tcPr>
            <w:tcW w:type="dxa" w:w="1440"/>
          </w:tcPr>
          <w:p>
            <w:r>
              <w:t>0.3148</w:t>
            </w:r>
          </w:p>
        </w:tc>
      </w:tr>
      <w:tr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39.9305</w:t>
            </w:r>
          </w:p>
        </w:tc>
        <w:tc>
          <w:tcPr>
            <w:tcW w:type="dxa" w:w="1440"/>
          </w:tcPr>
          <w:p>
            <w:r>
              <w:t>0.9342</w:t>
            </w:r>
          </w:p>
        </w:tc>
        <w:tc>
          <w:tcPr>
            <w:tcW w:type="dxa" w:w="1440"/>
          </w:tcPr>
          <w:p>
            <w:r>
              <w:t>0.0676</w:t>
            </w:r>
          </w:p>
        </w:tc>
        <w:tc>
          <w:tcPr>
            <w:tcW w:type="dxa" w:w="1440"/>
          </w:tcPr>
          <w:p>
            <w:r>
              <w:t>3.1141</w:t>
            </w:r>
          </w:p>
        </w:tc>
        <w:tc>
          <w:tcPr>
            <w:tcW w:type="dxa" w:w="1440"/>
          </w:tcPr>
          <w:p>
            <w:r>
              <w:t>0.2253</w:t>
            </w:r>
          </w:p>
        </w:tc>
      </w:tr>
    </w:tbl>
    <w:p>
      <w:pPr>
        <w:jc w:val="center"/>
      </w:pPr>
      <w:r>
        <w:br/>
        <w:t>Tabla 3: Fuerzas y desplazamientos del análisis estático en Y.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Nivel</w:t>
            </w:r>
          </w:p>
        </w:tc>
        <w:tc>
          <w:tcPr>
            <w:tcW w:type="dxa" w:w="1440"/>
          </w:tcPr>
          <w:p>
            <w:r>
              <w:t>Vy(ton)</w:t>
            </w:r>
          </w:p>
        </w:tc>
        <w:tc>
          <w:tcPr>
            <w:tcW w:type="dxa" w:w="1440"/>
          </w:tcPr>
          <w:p>
            <w:r>
              <w:t>UxMax(cm)</w:t>
            </w:r>
          </w:p>
        </w:tc>
        <w:tc>
          <w:tcPr>
            <w:tcW w:type="dxa" w:w="1440"/>
          </w:tcPr>
          <w:p>
            <w:r>
              <w:t>UyMax(cm)</w:t>
            </w:r>
          </w:p>
        </w:tc>
        <w:tc>
          <w:tcPr>
            <w:tcW w:type="dxa" w:w="1440"/>
          </w:tcPr>
          <w:p>
            <w:r>
              <w:t>DriftX(‰)</w:t>
            </w:r>
          </w:p>
        </w:tc>
        <w:tc>
          <w:tcPr>
            <w:tcW w:type="dxa" w:w="1440"/>
          </w:tcPr>
          <w:p>
            <w:r>
              <w:t>DriftY(‰)</w:t>
            </w:r>
          </w:p>
        </w:tc>
      </w:tr>
      <w:tr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18.8041</w:t>
            </w:r>
          </w:p>
        </w:tc>
        <w:tc>
          <w:tcPr>
            <w:tcW w:type="dxa" w:w="1440"/>
          </w:tcPr>
          <w:p>
            <w:r>
              <w:t>0.2272</w:t>
            </w:r>
          </w:p>
        </w:tc>
        <w:tc>
          <w:tcPr>
            <w:tcW w:type="dxa" w:w="1440"/>
          </w:tcPr>
          <w:p>
            <w:r>
              <w:t>3.5836</w:t>
            </w:r>
          </w:p>
        </w:tc>
        <w:tc>
          <w:tcPr>
            <w:tcW w:type="dxa" w:w="1440"/>
          </w:tcPr>
          <w:p>
            <w:r>
              <w:t>0.2149</w:t>
            </w:r>
          </w:p>
        </w:tc>
        <w:tc>
          <w:tcPr>
            <w:tcW w:type="dxa" w:w="1440"/>
          </w:tcPr>
          <w:p>
            <w:r>
              <w:t>3.4932</w:t>
            </w:r>
          </w:p>
        </w:tc>
      </w:tr>
      <w:tr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32.8883</w:t>
            </w:r>
          </w:p>
        </w:tc>
        <w:tc>
          <w:tcPr>
            <w:tcW w:type="dxa" w:w="1440"/>
          </w:tcPr>
          <w:p>
            <w:r>
              <w:t>0.1627</w:t>
            </w:r>
          </w:p>
        </w:tc>
        <w:tc>
          <w:tcPr>
            <w:tcW w:type="dxa" w:w="1440"/>
          </w:tcPr>
          <w:p>
            <w:r>
              <w:t>2.5356</w:t>
            </w:r>
          </w:p>
        </w:tc>
        <w:tc>
          <w:tcPr>
            <w:tcW w:type="dxa" w:w="1440"/>
          </w:tcPr>
          <w:p>
            <w:r>
              <w:t>0.3161</w:t>
            </w:r>
          </w:p>
        </w:tc>
        <w:tc>
          <w:tcPr>
            <w:tcW w:type="dxa" w:w="1440"/>
          </w:tcPr>
          <w:p>
            <w:r>
              <w:t>4.9858</w:t>
            </w:r>
          </w:p>
        </w:tc>
      </w:tr>
      <w:tr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39.9305</w:t>
            </w:r>
          </w:p>
        </w:tc>
        <w:tc>
          <w:tcPr>
            <w:tcW w:type="dxa" w:w="1440"/>
          </w:tcPr>
          <w:p>
            <w:r>
              <w:t>0.0679</w:t>
            </w:r>
          </w:p>
        </w:tc>
        <w:tc>
          <w:tcPr>
            <w:tcW w:type="dxa" w:w="1440"/>
          </w:tcPr>
          <w:p>
            <w:r>
              <w:t>1.0399</w:t>
            </w:r>
          </w:p>
        </w:tc>
        <w:tc>
          <w:tcPr>
            <w:tcW w:type="dxa" w:w="1440"/>
          </w:tcPr>
          <w:p>
            <w:r>
              <w:t>0.2263</w:t>
            </w:r>
          </w:p>
        </w:tc>
        <w:tc>
          <w:tcPr>
            <w:tcW w:type="dxa" w:w="1440"/>
          </w:tcPr>
          <w:p>
            <w:r>
              <w:t>3.4662</w:t>
            </w:r>
          </w:p>
        </w:tc>
      </w:tr>
    </w:tbl>
    <w:p>
      <w:pPr>
        <w:pStyle w:val="IntenseQuote"/>
      </w:pPr>
      <w:r>
        <w:t>Análisis Dinámico Modal Espectral</w:t>
      </w:r>
    </w:p>
    <w:p>
      <w:r>
        <w:t>En este análisis se consideraron los siguientes parámetros sísmicos:</w:t>
      </w:r>
    </w:p>
    <w:p>
      <w:pPr>
        <w:pStyle w:val="ListBullet"/>
      </w:pPr>
      <w:r>
        <w:t>Factor de Zona:</w:t>
        <w:tab/>
        <w:tab/>
        <w:tab/>
        <w:tab/>
        <w:t>Z = 0.45</w:t>
      </w:r>
    </w:p>
    <w:p>
      <w:pPr>
        <w:pStyle w:val="ListBullet"/>
      </w:pPr>
      <w:r>
        <w:t>Factor de Uso:</w:t>
        <w:tab/>
        <w:tab/>
        <w:tab/>
        <w:tab/>
        <w:t>U = 1.00</w:t>
      </w:r>
    </w:p>
    <w:p>
      <w:pPr>
        <w:pStyle w:val="ListBullet"/>
      </w:pPr>
      <w:r>
        <w:t>F. de Amplificación del Suelo:</w:t>
        <w:tab/>
        <w:tab/>
        <w:t>S = 1.00</w:t>
      </w:r>
    </w:p>
    <w:p>
      <w:pPr>
        <w:pStyle w:val="ListBullet"/>
      </w:pPr>
      <w:r>
        <w:t>Coef. de Reducción:</w:t>
        <w:tab/>
        <w:tab/>
        <w:tab/>
        <w:t>Ro= 8.00</w:t>
      </w:r>
    </w:p>
    <w:p>
      <w:r>
        <w:drawing>
          <wp:inline xmlns:a="http://schemas.openxmlformats.org/drawingml/2006/main" xmlns:pic="http://schemas.openxmlformats.org/drawingml/2006/picture">
            <wp:extent cx="4937760" cy="3703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ctro_E03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703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5: Espectro según la norma E030.</w:t>
      </w:r>
    </w:p>
    <w:p>
      <w:pPr>
        <w:jc w:val="center"/>
      </w:pPr>
      <w:r>
        <w:br/>
        <w:t>Tabla 4: Respuesta Dinámica sin escalar.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Nivel</w:t>
            </w:r>
          </w:p>
        </w:tc>
        <w:tc>
          <w:tcPr>
            <w:tcW w:type="dxa" w:w="1728"/>
          </w:tcPr>
          <w:p>
            <w:r>
              <w:t>VDx(ton)</w:t>
            </w:r>
          </w:p>
        </w:tc>
        <w:tc>
          <w:tcPr>
            <w:tcW w:type="dxa" w:w="1728"/>
          </w:tcPr>
          <w:p>
            <w:r>
              <w:t>VDy(ton)</w:t>
            </w:r>
          </w:p>
        </w:tc>
        <w:tc>
          <w:tcPr>
            <w:tcW w:type="dxa" w:w="1728"/>
          </w:tcPr>
          <w:p>
            <w:r>
              <w:t>UDx(cm)</w:t>
            </w:r>
          </w:p>
        </w:tc>
        <w:tc>
          <w:tcPr>
            <w:tcW w:type="dxa" w:w="1728"/>
          </w:tcPr>
          <w:p>
            <w:r>
              <w:t>UDy(cm)</w:t>
            </w:r>
          </w:p>
        </w:tc>
      </w:tr>
      <w:tr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17.3055</w:t>
            </w:r>
          </w:p>
        </w:tc>
        <w:tc>
          <w:tcPr>
            <w:tcW w:type="dxa" w:w="1728"/>
          </w:tcPr>
          <w:p>
            <w:r>
              <w:t>17.356</w:t>
            </w:r>
          </w:p>
        </w:tc>
        <w:tc>
          <w:tcPr>
            <w:tcW w:type="dxa" w:w="1728"/>
          </w:tcPr>
          <w:p>
            <w:r>
              <w:t>0.427</w:t>
            </w:r>
          </w:p>
        </w:tc>
        <w:tc>
          <w:tcPr>
            <w:tcW w:type="dxa" w:w="1728"/>
          </w:tcPr>
          <w:p>
            <w:r>
              <w:t>0.4601</w:t>
            </w:r>
          </w:p>
        </w:tc>
      </w:tr>
      <w:tr>
        <w:tc>
          <w:tcPr>
            <w:tcW w:type="dxa" w:w="1728"/>
          </w:tcPr>
          <w:p>
            <w:r>
              <w:t>2.0</w:t>
            </w:r>
          </w:p>
        </w:tc>
        <w:tc>
          <w:tcPr>
            <w:tcW w:type="dxa" w:w="1728"/>
          </w:tcPr>
          <w:p>
            <w:r>
              <w:t>28.4178</w:t>
            </w:r>
          </w:p>
        </w:tc>
        <w:tc>
          <w:tcPr>
            <w:tcW w:type="dxa" w:w="1728"/>
          </w:tcPr>
          <w:p>
            <w:r>
              <w:t>28.3206</w:t>
            </w:r>
          </w:p>
        </w:tc>
        <w:tc>
          <w:tcPr>
            <w:tcW w:type="dxa" w:w="1728"/>
          </w:tcPr>
          <w:p>
            <w:r>
              <w:t>0.3054</w:t>
            </w:r>
          </w:p>
        </w:tc>
        <w:tc>
          <w:tcPr>
            <w:tcW w:type="dxa" w:w="1728"/>
          </w:tcPr>
          <w:p>
            <w:r>
              <w:t>0.3257</w:t>
            </w:r>
          </w:p>
        </w:tc>
      </w:tr>
      <w:tr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35.0313</w:t>
            </w:r>
          </w:p>
        </w:tc>
        <w:tc>
          <w:tcPr>
            <w:tcW w:type="dxa" w:w="1728"/>
          </w:tcPr>
          <w:p>
            <w:r>
              <w:t>34.89</w:t>
            </w:r>
          </w:p>
        </w:tc>
        <w:tc>
          <w:tcPr>
            <w:tcW w:type="dxa" w:w="1728"/>
          </w:tcPr>
          <w:p>
            <w:r>
              <w:t>0.1284</w:t>
            </w:r>
          </w:p>
        </w:tc>
        <w:tc>
          <w:tcPr>
            <w:tcW w:type="dxa" w:w="1728"/>
          </w:tcPr>
          <w:p>
            <w:r>
              <w:t>0.1349</w:t>
            </w:r>
          </w:p>
        </w:tc>
      </w:tr>
    </w:tbl>
    <w:p>
      <w:pPr>
        <w:jc w:val="both"/>
      </w:pPr>
      <w:r>
        <w:br/>
        <w:t>Al comparar la cortante basal obtenida en el análisis dinámico en X (35.03 ton) y el 80% de la cortante basal del análisis estático en X (31.94 ton), se obtiene que NO es necesario escalar en X. En la dirección Y, la cortante basal obtenida en el análisis dinámico es 34.89 ton y el 80% de la cortante basal del análisis estático es 31.94 ton. Por lo que NO es necesario escalar en Y.</w:t>
      </w:r>
    </w:p>
    <w:p>
      <w:pPr>
        <w:jc w:val="center"/>
      </w:pPr>
      <w:r>
        <w:br/>
        <w:t>Tabla 5: Respuesta Dinámica Escalada.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Nivel</w:t>
            </w:r>
          </w:p>
        </w:tc>
        <w:tc>
          <w:tcPr>
            <w:tcW w:type="dxa" w:w="1234"/>
          </w:tcPr>
          <w:p>
            <w:r>
              <w:t>Vx(ton)</w:t>
            </w:r>
          </w:p>
        </w:tc>
        <w:tc>
          <w:tcPr>
            <w:tcW w:type="dxa" w:w="1234"/>
          </w:tcPr>
          <w:p>
            <w:r>
              <w:t>Vy(ton)</w:t>
            </w:r>
          </w:p>
        </w:tc>
        <w:tc>
          <w:tcPr>
            <w:tcW w:type="dxa" w:w="1234"/>
          </w:tcPr>
          <w:p>
            <w:r>
              <w:t>Ux(cm)</w:t>
            </w:r>
          </w:p>
        </w:tc>
        <w:tc>
          <w:tcPr>
            <w:tcW w:type="dxa" w:w="1234"/>
          </w:tcPr>
          <w:p>
            <w:r>
              <w:t>Uy(cm)</w:t>
            </w:r>
          </w:p>
        </w:tc>
        <w:tc>
          <w:tcPr>
            <w:tcW w:type="dxa" w:w="1234"/>
          </w:tcPr>
          <w:p>
            <w:r>
              <w:t>Δx(‰)</w:t>
            </w:r>
          </w:p>
        </w:tc>
        <w:tc>
          <w:tcPr>
            <w:tcW w:type="dxa" w:w="1234"/>
          </w:tcPr>
          <w:p>
            <w:r>
              <w:t>Δy(‰)</w:t>
            </w:r>
          </w:p>
        </w:tc>
      </w:tr>
      <w:tr>
        <w:tc>
          <w:tcPr>
            <w:tcW w:type="dxa" w:w="1234"/>
          </w:tcPr>
          <w:p>
            <w:r>
              <w:t>3.0</w:t>
            </w:r>
          </w:p>
        </w:tc>
        <w:tc>
          <w:tcPr>
            <w:tcW w:type="dxa" w:w="1234"/>
          </w:tcPr>
          <w:p>
            <w:r>
              <w:t>17.3055</w:t>
            </w:r>
          </w:p>
        </w:tc>
        <w:tc>
          <w:tcPr>
            <w:tcW w:type="dxa" w:w="1234"/>
          </w:tcPr>
          <w:p>
            <w:r>
              <w:t>17.356</w:t>
            </w:r>
          </w:p>
        </w:tc>
        <w:tc>
          <w:tcPr>
            <w:tcW w:type="dxa" w:w="1234"/>
          </w:tcPr>
          <w:p>
            <w:r>
              <w:t>2.5619</w:t>
            </w:r>
          </w:p>
        </w:tc>
        <w:tc>
          <w:tcPr>
            <w:tcW w:type="dxa" w:w="1234"/>
          </w:tcPr>
          <w:p>
            <w:r>
              <w:t>2.7606</w:t>
            </w:r>
          </w:p>
        </w:tc>
        <w:tc>
          <w:tcPr>
            <w:tcW w:type="dxa" w:w="1234"/>
          </w:tcPr>
          <w:p>
            <w:r>
              <w:t>2.5409</w:t>
            </w:r>
          </w:p>
        </w:tc>
        <w:tc>
          <w:tcPr>
            <w:tcW w:type="dxa" w:w="1234"/>
          </w:tcPr>
          <w:p>
            <w:r>
              <w:t>2.8055</w:t>
            </w:r>
          </w:p>
        </w:tc>
      </w:tr>
      <w:tr>
        <w:tc>
          <w:tcPr>
            <w:tcW w:type="dxa" w:w="1234"/>
          </w:tcPr>
          <w:p>
            <w:r>
              <w:t>2.0</w:t>
            </w:r>
          </w:p>
        </w:tc>
        <w:tc>
          <w:tcPr>
            <w:tcW w:type="dxa" w:w="1234"/>
          </w:tcPr>
          <w:p>
            <w:r>
              <w:t>28.4178</w:t>
            </w:r>
          </w:p>
        </w:tc>
        <w:tc>
          <w:tcPr>
            <w:tcW w:type="dxa" w:w="1234"/>
          </w:tcPr>
          <w:p>
            <w:r>
              <w:t>28.3206</w:t>
            </w:r>
          </w:p>
        </w:tc>
        <w:tc>
          <w:tcPr>
            <w:tcW w:type="dxa" w:w="1234"/>
          </w:tcPr>
          <w:p>
            <w:r>
              <w:t>1.8325</w:t>
            </w:r>
          </w:p>
        </w:tc>
        <w:tc>
          <w:tcPr>
            <w:tcW w:type="dxa" w:w="1234"/>
          </w:tcPr>
          <w:p>
            <w:r>
              <w:t>1.9543</w:t>
            </w:r>
          </w:p>
        </w:tc>
        <w:tc>
          <w:tcPr>
            <w:tcW w:type="dxa" w:w="1234"/>
          </w:tcPr>
          <w:p>
            <w:r>
              <w:t>3.5733</w:t>
            </w:r>
          </w:p>
        </w:tc>
        <w:tc>
          <w:tcPr>
            <w:tcW w:type="dxa" w:w="1234"/>
          </w:tcPr>
          <w:p>
            <w:r>
              <w:t>3.8485</w:t>
            </w:r>
          </w:p>
        </w:tc>
      </w:tr>
      <w:tr>
        <w:tc>
          <w:tcPr>
            <w:tcW w:type="dxa" w:w="1234"/>
          </w:tcPr>
          <w:p>
            <w:r>
              <w:t>1.0</w:t>
            </w:r>
          </w:p>
        </w:tc>
        <w:tc>
          <w:tcPr>
            <w:tcW w:type="dxa" w:w="1234"/>
          </w:tcPr>
          <w:p>
            <w:r>
              <w:t>35.0313</w:t>
            </w:r>
          </w:p>
        </w:tc>
        <w:tc>
          <w:tcPr>
            <w:tcW w:type="dxa" w:w="1234"/>
          </w:tcPr>
          <w:p>
            <w:r>
              <w:t>34.89</w:t>
            </w:r>
          </w:p>
        </w:tc>
        <w:tc>
          <w:tcPr>
            <w:tcW w:type="dxa" w:w="1234"/>
          </w:tcPr>
          <w:p>
            <w:r>
              <w:t>0.7707</w:t>
            </w:r>
          </w:p>
        </w:tc>
        <w:tc>
          <w:tcPr>
            <w:tcW w:type="dxa" w:w="1234"/>
          </w:tcPr>
          <w:p>
            <w:r>
              <w:t>0.8096</w:t>
            </w:r>
          </w:p>
        </w:tc>
        <w:tc>
          <w:tcPr>
            <w:tcW w:type="dxa" w:w="1234"/>
          </w:tcPr>
          <w:p>
            <w:r>
              <w:t>2.5689</w:t>
            </w:r>
          </w:p>
        </w:tc>
        <w:tc>
          <w:tcPr>
            <w:tcW w:type="dxa" w:w="1234"/>
          </w:tcPr>
          <w:p>
            <w:r>
              <w:t>2.6986</w:t>
            </w:r>
          </w:p>
        </w:tc>
      </w:tr>
    </w:tbl>
    <w:p>
      <w:r>
        <w:br w:type="page"/>
      </w:r>
    </w:p>
    <w:p>
      <w:pPr>
        <w:pStyle w:val="Heading1"/>
      </w:pPr>
      <w:r>
        <w:t>Resultados</w:t>
      </w:r>
    </w:p>
    <w:p>
      <w:pPr>
        <w:pStyle w:val="IntenseQuote"/>
      </w:pPr>
      <w:r>
        <w:t>Distorsiones de Entrepiso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torsion_d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Figura 6: Distorsión de entrepiso del análisis dinámico.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