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32"/>
          <w:u w:val="none"/>
        </w:rPr>
        <w:t>SAVI v2.0: Sistema Autónomo de Valuación Inmobiliaria Mediante Aprendizaje No Supervisado, Supervisado y por Refuerzo Profundo</w:t>
      </w:r>
    </w:p>
    <w:tbl>
      <w:tblPr>
        <w:tblW w:type="auto" w:w="0"/>
        <w:jc w:val="center"/>
        <w:tblLayout w:type="fixed"/>
        <w:tblLook w:firstColumn="1" w:firstRow="1" w:lastColumn="0" w:lastRow="0" w:noHBand="0" w:noVBand="1" w:val="04A0"/>
      </w:tblPr>
      <w:tblGrid>
        <w:gridCol w:w="5040"/>
        <w:gridCol w:w="5040"/>
      </w:tblGrid>
      <w:tr>
        <w:tc>
          <w:tcPr>
            <w:tcW w:type="dxa" w:w="4680"/>
            <w:tcBorders>
              <w:top w:val="nil"/>
              <w:left w:val="nil"/>
              <w:bottom w:val="nil"/>
              <w:right w:val="nil"/>
            </w:tcBorders>
            <w:vAlign w:val="top"/>
          </w:tcPr>
          <w:p>
            <w:r/>
          </w:p>
          <w:p>
            <w:pPr>
              <w:spacing w:after="20"/>
              <w:jc w:val="center"/>
            </w:pPr>
            <w:r>
              <w:rPr>
                <w:rFonts w:ascii="Times New Roman" w:hAnsi="Times New Roman" w:eastAsia="Times New Roman"/>
                <w:b/>
                <w:i w:val="0"/>
                <w:sz w:val="22"/>
                <w:u w:val="none"/>
              </w:rPr>
              <w:t>Julian Esteban Rincón R.</w:t>
            </w:r>
          </w:p>
          <w:p>
            <w:pPr>
              <w:spacing w:after="20"/>
              <w:jc w:val="center"/>
            </w:pPr>
            <w:r>
              <w:rPr>
                <w:rFonts w:ascii="Times New Roman" w:hAnsi="Times New Roman" w:eastAsia="Times New Roman"/>
                <w:b w:val="0"/>
                <w:i/>
                <w:sz w:val="20"/>
                <w:u w:val="none"/>
              </w:rPr>
              <w:t>Ingeniería de Sistemas e IA</w:t>
            </w:r>
          </w:p>
          <w:p>
            <w:pPr>
              <w:spacing w:after="20"/>
              <w:jc w:val="center"/>
            </w:pPr>
            <w:r>
              <w:rPr>
                <w:rFonts w:ascii="Times New Roman" w:hAnsi="Times New Roman" w:eastAsia="Times New Roman"/>
                <w:b w:val="0"/>
                <w:i w:val="0"/>
                <w:sz w:val="20"/>
                <w:u w:val="none"/>
              </w:rPr>
              <w:t>Universidad Sergio Arboleda</w:t>
            </w:r>
          </w:p>
          <w:p>
            <w:pPr>
              <w:spacing w:after="20"/>
              <w:jc w:val="center"/>
            </w:pPr>
            <w:r>
              <w:rPr>
                <w:rFonts w:ascii="Times New Roman" w:hAnsi="Times New Roman" w:eastAsia="Times New Roman"/>
                <w:b w:val="0"/>
                <w:i w:val="0"/>
                <w:sz w:val="20"/>
                <w:u w:val="none"/>
              </w:rPr>
              <w:t>Bogotá D.C., Colombia</w:t>
            </w:r>
          </w:p>
          <w:p>
            <w:pPr>
              <w:spacing w:after="20"/>
              <w:jc w:val="center"/>
            </w:pPr>
            <w:r>
              <w:rPr>
                <w:rFonts w:ascii="Courier New" w:hAnsi="Courier New" w:eastAsia="Courier New"/>
                <w:b w:val="0"/>
                <w:i w:val="0"/>
                <w:sz w:val="18"/>
                <w:u w:val="none"/>
              </w:rPr>
              <w:t>julian.rincon@usa.edu.co</w:t>
            </w:r>
          </w:p>
        </w:tc>
        <w:tc>
          <w:tcPr>
            <w:tcW w:type="dxa" w:w="4680"/>
            <w:tcBorders>
              <w:top w:val="nil"/>
              <w:left w:val="nil"/>
              <w:bottom w:val="nil"/>
              <w:right w:val="nil"/>
            </w:tcBorders>
            <w:vAlign w:val="top"/>
          </w:tcPr>
          <w:p>
            <w:r/>
          </w:p>
          <w:p>
            <w:pPr>
              <w:spacing w:after="20"/>
              <w:jc w:val="center"/>
            </w:pPr>
            <w:r>
              <w:rPr>
                <w:rFonts w:ascii="Times New Roman" w:hAnsi="Times New Roman" w:eastAsia="Times New Roman"/>
                <w:b/>
                <w:i w:val="0"/>
                <w:sz w:val="22"/>
                <w:u w:val="none"/>
              </w:rPr>
              <w:t>Valeria Larea  ·  Nicolás Garzón  ·  Juan Niño</w:t>
            </w:r>
          </w:p>
          <w:p>
            <w:pPr>
              <w:spacing w:after="20"/>
              <w:jc w:val="center"/>
            </w:pPr>
            <w:r>
              <w:rPr>
                <w:rFonts w:ascii="Times New Roman" w:hAnsi="Times New Roman" w:eastAsia="Times New Roman"/>
                <w:b w:val="0"/>
                <w:i/>
                <w:sz w:val="20"/>
                <w:u w:val="none"/>
              </w:rPr>
              <w:t>Ingeniería de Sistemas e IA</w:t>
            </w:r>
          </w:p>
          <w:p>
            <w:pPr>
              <w:spacing w:after="20"/>
              <w:jc w:val="center"/>
            </w:pPr>
            <w:r>
              <w:rPr>
                <w:rFonts w:ascii="Times New Roman" w:hAnsi="Times New Roman" w:eastAsia="Times New Roman"/>
                <w:b w:val="0"/>
                <w:i w:val="0"/>
                <w:sz w:val="20"/>
                <w:u w:val="none"/>
              </w:rPr>
              <w:t>Universidad Sergio Arboleda</w:t>
            </w:r>
          </w:p>
          <w:p>
            <w:pPr>
              <w:spacing w:after="20"/>
              <w:jc w:val="center"/>
            </w:pPr>
            <w:r>
              <w:rPr>
                <w:rFonts w:ascii="Times New Roman" w:hAnsi="Times New Roman" w:eastAsia="Times New Roman"/>
                <w:b w:val="0"/>
                <w:i w:val="0"/>
                <w:sz w:val="20"/>
                <w:u w:val="none"/>
              </w:rPr>
              <w:t>Bogotá D.C., Colombia</w:t>
            </w:r>
          </w:p>
          <w:p>
            <w:pPr>
              <w:spacing w:after="20"/>
              <w:jc w:val="center"/>
            </w:pPr>
            <w:r>
              <w:rPr>
                <w:rFonts w:ascii="Times New Roman" w:hAnsi="Times New Roman" w:eastAsia="Times New Roman"/>
                <w:b w:val="0"/>
                <w:i w:val="0"/>
                <w:sz w:val="18"/>
                <w:u w:val="none"/>
              </w:rPr>
              <w:t>Cohorte 2022-2 · Semestre VIII</w:t>
            </w:r>
          </w:p>
        </w:tc>
      </w:tr>
    </w:tbl>
    <w:p/>
    <w:p>
      <w:pPr>
        <w:spacing w:before="0" w:after="100" w:line="276" w:lineRule="auto"/>
        <w:ind w:left="360" w:right="360"/>
        <w:jc w:val="both"/>
      </w:pPr>
      <w:r>
        <w:rPr>
          <w:rFonts w:ascii="Times New Roman" w:hAnsi="Times New Roman" w:eastAsia="Times New Roman"/>
          <w:b/>
          <w:i w:val="0"/>
          <w:sz w:val="22"/>
          <w:u w:val="none"/>
        </w:rPr>
        <w:t>Abstract—</w:t>
      </w:r>
      <w:r>
        <w:rPr>
          <w:rFonts w:ascii="Times New Roman" w:hAnsi="Times New Roman" w:eastAsia="Times New Roman"/>
          <w:b w:val="0"/>
          <w:i w:val="0"/>
          <w:sz w:val="22"/>
          <w:u w:val="none"/>
        </w:rPr>
        <w:t xml:space="preserve">Este artículo presenta SAVI v2.0 (Sistema Autónomo de Valuación Inmobiliaria), un pipeline completo de Machine Learning que integra los tres paradigmas de aprendizaje estudiados durante el semestre en la Universidad Sergio Arboleda. El sistema opera sobre el dataset Ames Housing 2006–2024 (20,203 predios, 81 variables) y resuelve el problema de decisión: dado un predio, ¿cuándo debe un tasador automatizado </w:t>
      </w:r>
      <w:r>
        <w:rPr>
          <w:rFonts w:ascii="Times New Roman" w:hAnsi="Times New Roman" w:eastAsia="Times New Roman"/>
          <w:b w:val="0"/>
          <w:i/>
          <w:sz w:val="22"/>
          <w:u w:val="none"/>
        </w:rPr>
        <w:t>aprobar</w:t>
      </w:r>
      <w:r>
        <w:rPr>
          <w:rFonts w:ascii="Times New Roman" w:hAnsi="Times New Roman" w:eastAsia="Times New Roman"/>
          <w:b w:val="0"/>
          <w:i w:val="0"/>
          <w:sz w:val="22"/>
          <w:u w:val="none"/>
        </w:rPr>
        <w:t xml:space="preserve"> la valuación, </w:t>
      </w:r>
      <w:r>
        <w:rPr>
          <w:rFonts w:ascii="Times New Roman" w:hAnsi="Times New Roman" w:eastAsia="Times New Roman"/>
          <w:b w:val="0"/>
          <w:i/>
          <w:sz w:val="22"/>
          <w:u w:val="none"/>
        </w:rPr>
        <w:t>revisarla</w:t>
      </w:r>
      <w:r>
        <w:rPr>
          <w:rFonts w:ascii="Times New Roman" w:hAnsi="Times New Roman" w:eastAsia="Times New Roman"/>
          <w:b w:val="0"/>
          <w:i w:val="0"/>
          <w:sz w:val="22"/>
          <w:u w:val="none"/>
        </w:rPr>
        <w:t xml:space="preserve"> manualmente, o </w:t>
      </w:r>
      <w:r>
        <w:rPr>
          <w:rFonts w:ascii="Times New Roman" w:hAnsi="Times New Roman" w:eastAsia="Times New Roman"/>
          <w:b w:val="0"/>
          <w:i/>
          <w:sz w:val="22"/>
          <w:u w:val="none"/>
        </w:rPr>
        <w:t>rechazarla</w:t>
      </w:r>
      <w:r>
        <w:rPr>
          <w:rFonts w:ascii="Times New Roman" w:hAnsi="Times New Roman" w:eastAsia="Times New Roman"/>
          <w:b w:val="0"/>
          <w:i w:val="0"/>
          <w:sz w:val="22"/>
          <w:u w:val="none"/>
        </w:rPr>
        <w:t xml:space="preserve"> por datos insuficientes? La solución encadena: (1) K-Means para segmentar el mercado en 6 clusters (silhouette=0.142), definiendo los estados del agente; (2) XGBoost para predicción de precios (R²=0.9609, MAE=$26,752), calibrando la función de recompensa económica; y (3) tres métodos de Aprendizaje por Refuerzo progresivos — MDP+Value Iteration (259 iteraciones), Q-Learning tabular (8,000 episodios, 100% concordancia con VI) y Deep Q-Network con PyTorch (estado continuo 20D, Experience Replay, Target Network, pérdida Huber). La política óptima emergente automatiza el 34.4% de valuaciones directamente, deriva el 62.1% a revisión humana selectiva y solicita más información en el 3.5% restante.</w:t>
      </w:r>
    </w:p>
    <w:p>
      <w:pPr>
        <w:spacing w:before="0" w:after="160" w:line="276" w:lineRule="auto"/>
        <w:ind w:left="360" w:right="360"/>
        <w:jc w:val="both"/>
      </w:pPr>
      <w:r>
        <w:rPr>
          <w:rFonts w:ascii="Times New Roman" w:hAnsi="Times New Roman" w:eastAsia="Times New Roman"/>
          <w:b/>
          <w:i w:val="0"/>
          <w:sz w:val="22"/>
          <w:u w:val="none"/>
        </w:rPr>
        <w:t>Keywords—</w:t>
      </w:r>
      <w:r>
        <w:rPr>
          <w:rFonts w:ascii="Times New Roman" w:hAnsi="Times New Roman" w:eastAsia="Times New Roman"/>
          <w:b w:val="0"/>
          <w:i/>
          <w:sz w:val="22"/>
          <w:u w:val="none"/>
        </w:rPr>
        <w:t>Aprendizaje por refuerzo; Deep Q-Network; K-Means; XGBoost; MDP; Proceso de Decisión de Markov; valuación inmobiliaria; Ames Housing; política óptima; ecuación de Bellman</w:t>
      </w:r>
    </w:p>
    <w:p>
      <w:pPr>
        <w:spacing w:after="160"/>
        <w:jc w:val="center"/>
      </w:pPr>
      <w:r>
        <w:rPr>
          <w:rFonts w:ascii="Courier New" w:hAnsi="Courier New" w:eastAsia="Courier New"/>
          <w:b w:val="0"/>
          <w:i w:val="0"/>
          <w:color w:val="888888"/>
          <w:sz w:val="14"/>
          <w:u w:val="none"/>
        </w:rPr>
        <w:t>──────────────────────────────────────────────────────────────────────────────────────────</w:t>
      </w:r>
    </w:p>
    <w:p>
      <w:pPr>
        <w:spacing w:before="240" w:after="120"/>
        <w:jc w:val="left"/>
        <w:pBdr>
          <w:bottom w:val="single" w:sz="6" w:space="2" w:color="000000"/>
        </w:pBdr>
      </w:pPr>
      <w:r>
        <w:rPr>
          <w:rFonts w:ascii="Times New Roman" w:hAnsi="Times New Roman" w:eastAsia="Times New Roman"/>
          <w:b/>
          <w:i w:val="0"/>
          <w:sz w:val="22"/>
          <w:u w:val="none"/>
        </w:rPr>
        <w:t>I. INTRODUCCIÓN</w:t>
      </w:r>
    </w:p>
    <w:p>
      <w:pPr>
        <w:spacing w:before="0" w:after="120" w:line="276" w:lineRule="auto"/>
        <w:jc w:val="both"/>
      </w:pPr>
      <w:r>
        <w:rPr>
          <w:rFonts w:ascii="Times New Roman" w:hAnsi="Times New Roman" w:eastAsia="Times New Roman"/>
          <w:b w:val="0"/>
          <w:i w:val="0"/>
          <w:sz w:val="22"/>
          <w:u w:val="none"/>
        </w:rPr>
        <w:t>El problema de la valuación inmobiliaria automatizada representa uno de los desafíos más relevantes en la aplicación práctica del Machine Learning. Las instituciones financieras, aseguradoras y plataformas de bienes raíces procesan miles de solicitudes diarias donde la calidad de la tasación determina directamente el riesgo crediticio y la eficiencia operacional [1]. Sin embargo, un sistema de predicción de precios —por preciso que sea— no es suficiente: se requiere un mecanismo de decisión que determine cuándo confiar en el modelo y cuándo escalar a revisión humana.</w:t>
      </w:r>
    </w:p>
    <w:p>
      <w:pPr>
        <w:spacing w:before="0" w:after="120" w:line="276" w:lineRule="auto"/>
        <w:jc w:val="both"/>
      </w:pPr>
      <w:r>
        <w:rPr>
          <w:rFonts w:ascii="Times New Roman" w:hAnsi="Times New Roman" w:eastAsia="Times New Roman"/>
          <w:b w:val="0"/>
          <w:i w:val="0"/>
          <w:sz w:val="22"/>
          <w:u w:val="none"/>
        </w:rPr>
        <w:t>El presente trabajo propone SAVI v2.0, un sistema que aborda este problema mediante la integración de los tres paradigmas de aprendizaje estudiados durante el semestre de Machine Learning 2026 en la Universidad Sergio Arboleda. La propuesta es conceptualmente novedosa en que los tres bloques no operan en paralelo sino de manera encadenada: el resultado del aprendizaje no supervisado alimenta al supervisado, y ambos alimentan al agente de aprendizaje por refuerzo.</w:t>
      </w:r>
    </w:p>
    <w:p>
      <w:pPr>
        <w:spacing w:before="0" w:after="120" w:line="276" w:lineRule="auto"/>
        <w:jc w:val="both"/>
      </w:pPr>
      <w:r>
        <w:rPr>
          <w:rFonts w:ascii="Times New Roman" w:hAnsi="Times New Roman" w:eastAsia="Times New Roman"/>
          <w:b w:val="0"/>
          <w:i w:val="0"/>
          <w:sz w:val="22"/>
          <w:u w:val="none"/>
        </w:rPr>
        <w:t>Motivaciones específicas de este diseño incluyen: (a) el clustering define una representación discreta del espacio de estados que hace tractable el MDP; (b) el error de predicción del modelo supervisado calibra la función de recompensa con semántica económica real; y (c) la progresión VI → Q-Learning → DQN permite comparar soluciones analíticas, tabulares y de aproximación de función en el mismo entorno, evidenciando empíricamente las ventajas y limitaciones de cada enfoque.</w:t>
      </w:r>
    </w:p>
    <w:p>
      <w:pPr>
        <w:spacing w:before="0" w:after="120" w:line="276" w:lineRule="auto"/>
        <w:jc w:val="both"/>
      </w:pPr>
      <w:r>
        <w:rPr>
          <w:rFonts w:ascii="Times New Roman" w:hAnsi="Times New Roman" w:eastAsia="Times New Roman"/>
          <w:b w:val="0"/>
          <w:i w:val="0"/>
          <w:sz w:val="22"/>
          <w:u w:val="none"/>
        </w:rPr>
        <w:t>El dataset utilizado es una extensión del clásico Ames Housing Dataset [2], ampliado con registros del Assessor's Office de la ciudad de Ames, Iowa, cubriendo el período 2006–2024 con 20,203 transacciones. Este dataset ha sido utilizado extensivamente como benchmark en competencias de regresión y ofrece alta calidad de datos, riqueza de variables (81 columnas) e interpretabilidad económica.</w:t>
      </w:r>
    </w:p>
    <w:p>
      <w:pPr>
        <w:spacing w:before="180" w:after="80"/>
        <w:jc w:val="left"/>
      </w:pPr>
      <w:r>
        <w:rPr>
          <w:rFonts w:ascii="Times New Roman" w:hAnsi="Times New Roman" w:eastAsia="Times New Roman"/>
          <w:b/>
          <w:i/>
          <w:sz w:val="22"/>
          <w:u w:val="none"/>
        </w:rPr>
        <w:t>A. Contribuciones principales</w:t>
      </w:r>
    </w:p>
    <w:p>
      <w:pPr>
        <w:spacing w:before="0" w:after="120" w:line="276" w:lineRule="auto"/>
        <w:jc w:val="both"/>
      </w:pPr>
      <w:r>
        <w:rPr>
          <w:rFonts w:ascii="Times New Roman" w:hAnsi="Times New Roman" w:eastAsia="Times New Roman"/>
          <w:b w:val="0"/>
          <w:i w:val="0"/>
          <w:sz w:val="22"/>
          <w:u w:val="none"/>
        </w:rPr>
        <w:t>Las contribuciones de este artículo son: (1) un pipeline reproducible que integra los tres paradigmas de ML en un sistema de decisión único; (2) una función de recompensa económicamente fundamentada basada en costos reales de tasación; (3) la implementación y comparación empírica de MDP/VI, Q-Learning tabular y DQN sobre el mismo entorno; y (4) un análisis interpretable de la política óptima emergente bajo la denominación “3 reglas de oro del agente SAVI”.</w:t>
      </w:r>
    </w:p>
    <w:p>
      <w:pPr>
        <w:spacing w:before="240" w:after="120"/>
        <w:jc w:val="left"/>
        <w:pBdr>
          <w:bottom w:val="single" w:sz="6" w:space="2" w:color="000000"/>
        </w:pBdr>
      </w:pPr>
      <w:r>
        <w:rPr>
          <w:rFonts w:ascii="Times New Roman" w:hAnsi="Times New Roman" w:eastAsia="Times New Roman"/>
          <w:b/>
          <w:i w:val="0"/>
          <w:sz w:val="22"/>
          <w:u w:val="none"/>
        </w:rPr>
        <w:t>II. MARCO TEÓRICO</w:t>
      </w:r>
    </w:p>
    <w:p>
      <w:pPr>
        <w:spacing w:before="180" w:after="80"/>
        <w:jc w:val="left"/>
      </w:pPr>
      <w:r>
        <w:rPr>
          <w:rFonts w:ascii="Times New Roman" w:hAnsi="Times New Roman" w:eastAsia="Times New Roman"/>
          <w:b/>
          <w:i/>
          <w:sz w:val="22"/>
          <w:u w:val="none"/>
        </w:rPr>
        <w:t>A. Aprendizaje No Supervisado — Clustering</w:t>
      </w:r>
    </w:p>
    <w:p>
      <w:pPr>
        <w:spacing w:before="0" w:after="60" w:line="276" w:lineRule="auto"/>
        <w:jc w:val="both"/>
      </w:pPr>
      <w:r>
        <w:rPr>
          <w:rFonts w:ascii="Times New Roman" w:hAnsi="Times New Roman" w:eastAsia="Times New Roman"/>
          <w:b w:val="0"/>
          <w:i w:val="0"/>
          <w:sz w:val="22"/>
          <w:u w:val="none"/>
        </w:rPr>
        <w:t>El clustering tiene como objetivo descubrir estructura latente en datos sin etiquetas. El algoritmo K-Means minimiza la inercia intra-cluster:</w:t>
      </w:r>
    </w:p>
    <w:p>
      <w:pPr>
        <w:spacing w:before="80" w:after="80"/>
        <w:jc w:val="center"/>
      </w:pPr>
      <w:r>
        <w:rPr>
          <w:rFonts w:ascii="Times New Roman" w:hAnsi="Times New Roman" w:eastAsia="Times New Roman"/>
          <w:b w:val="0"/>
          <w:i w:val="0"/>
          <w:sz w:val="22"/>
          <w:u w:val="none"/>
        </w:rPr>
        <w:t>J = sum_k sum_{x in C_k} ||x - mu_k||^2</w:t>
      </w:r>
    </w:p>
    <w:p>
      <w:pPr>
        <w:spacing w:before="0" w:after="120" w:line="276" w:lineRule="auto"/>
        <w:jc w:val="both"/>
      </w:pPr>
      <w:r>
        <w:rPr>
          <w:rFonts w:ascii="Times New Roman" w:hAnsi="Times New Roman" w:eastAsia="Times New Roman"/>
          <w:b w:val="0"/>
          <w:i w:val="0"/>
          <w:sz w:val="22"/>
          <w:u w:val="none"/>
        </w:rPr>
        <w:t>donde μ_k es el centroide del cluster k. La calidad del agrupamiento se mide con el Silhouette Score s(i) = (b(i) - a(i)) / max(a(i), b(i)), con a(i) la distancia media intra-cluster y b(i) la distancia media al cluster vecino más próximo [3]. El Clustering Jerárquico (enlace Ward) minimiza la varianza al fusionar clusters. DBSCAN identifica clusters por densidad local sin requerir k predefinido.</w:t>
      </w:r>
    </w:p>
    <w:p>
      <w:pPr>
        <w:spacing w:before="180" w:after="80"/>
        <w:jc w:val="left"/>
      </w:pPr>
      <w:r>
        <w:rPr>
          <w:rFonts w:ascii="Times New Roman" w:hAnsi="Times New Roman" w:eastAsia="Times New Roman"/>
          <w:b/>
          <w:i/>
          <w:sz w:val="22"/>
          <w:u w:val="none"/>
        </w:rPr>
        <w:t>B. Aprendizaje Supervisado — Gradient Boosting</w:t>
      </w:r>
    </w:p>
    <w:p>
      <w:pPr>
        <w:spacing w:before="0" w:after="60" w:line="276" w:lineRule="auto"/>
        <w:jc w:val="both"/>
      </w:pPr>
      <w:r>
        <w:rPr>
          <w:rFonts w:ascii="Times New Roman" w:hAnsi="Times New Roman" w:eastAsia="Times New Roman"/>
          <w:b w:val="0"/>
          <w:i w:val="0"/>
          <w:sz w:val="22"/>
          <w:u w:val="none"/>
        </w:rPr>
        <w:t>XGBoost [4] y LightGBM [5] son algoritmos de gradient boosting que construyen ensambles de árboles de decisión secuencialmente. El objetivo es minimizar:</w:t>
      </w:r>
    </w:p>
    <w:p>
      <w:pPr>
        <w:spacing w:before="80" w:after="80"/>
        <w:jc w:val="center"/>
      </w:pPr>
      <w:r>
        <w:rPr>
          <w:rFonts w:ascii="Times New Roman" w:hAnsi="Times New Roman" w:eastAsia="Times New Roman"/>
          <w:b w:val="0"/>
          <w:i w:val="0"/>
          <w:sz w:val="22"/>
          <w:u w:val="none"/>
        </w:rPr>
        <w:t>L(phi) = sum_i l(y_hat_i, y_i) + sum_k Omega(f_k)</w:t>
      </w:r>
    </w:p>
    <w:p>
      <w:pPr>
        <w:spacing w:before="0" w:after="120" w:line="276" w:lineRule="auto"/>
        <w:jc w:val="both"/>
      </w:pPr>
      <w:r>
        <w:rPr>
          <w:rFonts w:ascii="Times New Roman" w:hAnsi="Times New Roman" w:eastAsia="Times New Roman"/>
          <w:b w:val="0"/>
          <w:i w:val="0"/>
          <w:sz w:val="22"/>
          <w:u w:val="none"/>
        </w:rPr>
        <w:t>donde l es la función de pérdida y Ω(f_k) = γT + ½λ||w||² es la regularización sobre el árbol k-ésimo. La transformación logarítmica del precio objetivo (y = log(1 + SalePrice)) normaliza la distribución sesgada a la derecha, mejorando la estabilidad del entrenamiento y la interpretabilidad del error relativo.</w:t>
      </w:r>
    </w:p>
    <w:p>
      <w:pPr>
        <w:spacing w:before="180" w:after="80"/>
        <w:jc w:val="left"/>
      </w:pPr>
      <w:r>
        <w:rPr>
          <w:rFonts w:ascii="Times New Roman" w:hAnsi="Times New Roman" w:eastAsia="Times New Roman"/>
          <w:b/>
          <w:i/>
          <w:sz w:val="22"/>
          <w:u w:val="none"/>
        </w:rPr>
        <w:t>C. Proceso de Decisión de Markov (MDP)</w:t>
      </w:r>
    </w:p>
    <w:p>
      <w:pPr>
        <w:spacing w:before="0" w:after="60" w:line="276" w:lineRule="auto"/>
        <w:jc w:val="both"/>
      </w:pPr>
      <w:r>
        <w:rPr>
          <w:rFonts w:ascii="Times New Roman" w:hAnsi="Times New Roman" w:eastAsia="Times New Roman"/>
          <w:b w:val="0"/>
          <w:i w:val="0"/>
          <w:sz w:val="22"/>
          <w:u w:val="none"/>
        </w:rPr>
        <w:t>Un MDP es una tupla (S, A, P, R, gamma) donde S es el conjunto de estados, A el conjunto de acciones, P(s'|s,a) la función de transición, R(s,a) la función de recompensa, y gamma in [0,1) el factor de descuento [6]. La solución óptima V*(s) satisface la ecuación de Bellman:</w:t>
      </w:r>
    </w:p>
    <w:p>
      <w:pPr>
        <w:spacing w:before="80" w:after="80"/>
        <w:jc w:val="center"/>
      </w:pPr>
      <w:r>
        <w:rPr>
          <w:rFonts w:ascii="Times New Roman" w:hAnsi="Times New Roman" w:eastAsia="Times New Roman"/>
          <w:b w:val="0"/>
          <w:i w:val="0"/>
          <w:sz w:val="22"/>
          <w:u w:val="none"/>
        </w:rPr>
        <w:t>V*(s) = max_a [ R(s,a) + gamma * sum_{s'} P(s'|s,a) * V*(s') ]</w:t>
      </w:r>
    </w:p>
    <w:p>
      <w:pPr>
        <w:spacing w:before="0" w:after="120" w:line="276" w:lineRule="auto"/>
        <w:jc w:val="both"/>
      </w:pPr>
      <w:r>
        <w:rPr>
          <w:rFonts w:ascii="Times New Roman" w:hAnsi="Times New Roman" w:eastAsia="Times New Roman"/>
          <w:b w:val="0"/>
          <w:i w:val="0"/>
          <w:sz w:val="22"/>
          <w:u w:val="none"/>
        </w:rPr>
        <w:t>Value Iteration resuelve este sistema iterativamente hasta convergencia (||V_{t+1} - V_t||_∞ &lt; θ). La política óptima se extrae como pi*(s) = argmax_a Q*(s,a).</w:t>
      </w:r>
    </w:p>
    <w:p>
      <w:pPr>
        <w:spacing w:before="180" w:after="80"/>
        <w:jc w:val="left"/>
      </w:pPr>
      <w:r>
        <w:rPr>
          <w:rFonts w:ascii="Times New Roman" w:hAnsi="Times New Roman" w:eastAsia="Times New Roman"/>
          <w:b/>
          <w:i/>
          <w:sz w:val="22"/>
          <w:u w:val="none"/>
        </w:rPr>
        <w:t>D. Q-Learning</w:t>
      </w:r>
    </w:p>
    <w:p>
      <w:pPr>
        <w:spacing w:before="0" w:after="60" w:line="276" w:lineRule="auto"/>
        <w:jc w:val="both"/>
      </w:pPr>
      <w:r>
        <w:rPr>
          <w:rFonts w:ascii="Times New Roman" w:hAnsi="Times New Roman" w:eastAsia="Times New Roman"/>
          <w:b w:val="0"/>
          <w:i w:val="0"/>
          <w:sz w:val="22"/>
          <w:u w:val="none"/>
        </w:rPr>
        <w:t>Q-Learning [7] es un método model-free off-policy que aprende la función de valor acción Q(s,a) mediante la regla de actualización:</w:t>
      </w:r>
    </w:p>
    <w:p>
      <w:pPr>
        <w:spacing w:before="80" w:after="80"/>
        <w:jc w:val="center"/>
      </w:pPr>
      <w:r>
        <w:rPr>
          <w:rFonts w:ascii="Times New Roman" w:hAnsi="Times New Roman" w:eastAsia="Times New Roman"/>
          <w:b w:val="0"/>
          <w:i w:val="0"/>
          <w:sz w:val="22"/>
          <w:u w:val="none"/>
        </w:rPr>
        <w:t>Q(s,a) &lt;- Q(s,a) + alpha [ r + gamma * max_{a'} Q(s',a') - Q(s,a) ]</w:t>
      </w:r>
    </w:p>
    <w:p>
      <w:pPr>
        <w:spacing w:before="0" w:after="120" w:line="276" w:lineRule="auto"/>
        <w:jc w:val="both"/>
      </w:pPr>
      <w:r>
        <w:rPr>
          <w:rFonts w:ascii="Times New Roman" w:hAnsi="Times New Roman" w:eastAsia="Times New Roman"/>
          <w:b w:val="0"/>
          <w:i w:val="0"/>
          <w:sz w:val="22"/>
          <w:u w:val="none"/>
        </w:rPr>
        <w:t>donde α es la tasa de aprendizaje. La política ε-greedy balancea exploración (acción aleatoria con prob. ε) y explotación (acción óptima con prob. 1-ε). Con decaimiento exponencial de ε, el agente transita de explorador a explotador.</w:t>
      </w:r>
    </w:p>
    <w:p>
      <w:pPr>
        <w:spacing w:before="180" w:after="80"/>
        <w:jc w:val="left"/>
      </w:pPr>
      <w:r>
        <w:rPr>
          <w:rFonts w:ascii="Times New Roman" w:hAnsi="Times New Roman" w:eastAsia="Times New Roman"/>
          <w:b/>
          <w:i/>
          <w:sz w:val="22"/>
          <w:u w:val="none"/>
        </w:rPr>
        <w:t>E. Deep Q-Network (DQN)</w:t>
      </w:r>
    </w:p>
    <w:p>
      <w:pPr>
        <w:spacing w:before="0" w:after="60" w:line="276" w:lineRule="auto"/>
        <w:jc w:val="both"/>
      </w:pPr>
      <w:r>
        <w:rPr>
          <w:rFonts w:ascii="Times New Roman" w:hAnsi="Times New Roman" w:eastAsia="Times New Roman"/>
          <w:b w:val="0"/>
          <w:i w:val="0"/>
          <w:sz w:val="22"/>
          <w:u w:val="none"/>
        </w:rPr>
        <w:t>DQN [8] extiende Q-Learning al reemplazar la tabla Q(s,a) por una red neuronal Q_theta(s,a) que aproxima la función de valor acción en espacios de estado continuos de alta dimensión. La pérdida minimizada es:</w:t>
      </w:r>
    </w:p>
    <w:p>
      <w:pPr>
        <w:spacing w:before="80" w:after="80"/>
        <w:jc w:val="center"/>
      </w:pPr>
      <w:r>
        <w:rPr>
          <w:rFonts w:ascii="Times New Roman" w:hAnsi="Times New Roman" w:eastAsia="Times New Roman"/>
          <w:b w:val="0"/>
          <w:i w:val="0"/>
          <w:sz w:val="22"/>
          <w:u w:val="none"/>
        </w:rPr>
        <w:t>L(theta) = E[(r + gamma * max_{a'} Q_target(s',a') - Q_theta(s,a))^2]</w:t>
      </w:r>
    </w:p>
    <w:p>
      <w:pPr>
        <w:spacing w:before="0" w:after="120" w:line="276" w:lineRule="auto"/>
        <w:jc w:val="both"/>
      </w:pPr>
      <w:r>
        <w:rPr>
          <w:rFonts w:ascii="Times New Roman" w:hAnsi="Times New Roman" w:eastAsia="Times New Roman"/>
          <w:b w:val="0"/>
          <w:i w:val="0"/>
          <w:sz w:val="22"/>
          <w:u w:val="none"/>
        </w:rPr>
        <w:t>donde theta_target son los pesos de la red target (congelada). Las dos innovaciones fundamentales de DQN son: (1) Experience Replay — almacenar transiciones (s,a,r,s') en un buffer y muestrear mini-batches aleatorios para romper correlaciones temporales; y (2) Target Network — usar una red congelada para calcular los targets de Bellman, estabilizando el entrenamiento [8].</w:t>
      </w:r>
    </w:p>
    <w:p>
      <w:pPr>
        <w:spacing w:before="240" w:after="120"/>
        <w:jc w:val="left"/>
        <w:pBdr>
          <w:bottom w:val="single" w:sz="6" w:space="2" w:color="000000"/>
        </w:pBdr>
      </w:pPr>
      <w:r>
        <w:rPr>
          <w:rFonts w:ascii="Times New Roman" w:hAnsi="Times New Roman" w:eastAsia="Times New Roman"/>
          <w:b/>
          <w:i w:val="0"/>
          <w:sz w:val="22"/>
          <w:u w:val="none"/>
        </w:rPr>
        <w:t>III. METODOLOGÍA</w:t>
      </w:r>
    </w:p>
    <w:p>
      <w:pPr>
        <w:spacing w:before="180" w:after="80"/>
        <w:jc w:val="left"/>
      </w:pPr>
      <w:r>
        <w:rPr>
          <w:rFonts w:ascii="Times New Roman" w:hAnsi="Times New Roman" w:eastAsia="Times New Roman"/>
          <w:b/>
          <w:i/>
          <w:sz w:val="22"/>
          <w:u w:val="none"/>
        </w:rPr>
        <w:t>A. Dataset y preprocesamiento</w:t>
      </w:r>
    </w:p>
    <w:p>
      <w:pPr>
        <w:spacing w:before="0" w:after="120" w:line="276" w:lineRule="auto"/>
        <w:jc w:val="both"/>
      </w:pPr>
      <w:r>
        <w:rPr>
          <w:rFonts w:ascii="Times New Roman" w:hAnsi="Times New Roman" w:eastAsia="Times New Roman"/>
          <w:b w:val="0"/>
          <w:i w:val="0"/>
          <w:sz w:val="22"/>
          <w:u w:val="none"/>
        </w:rPr>
        <w:t>El dataset Ames Housing 2006–2024 contiene 20,203 transacciones con 81 variables (36 numéricas, 43 categóricas, 2 ordinales). La variable objetivo SalePrice presenta sesgo derecho con mediana $215,000 y máximo efectivo $480,000 tras filtrar el percentil 99.9 (remoción de 20 outliers extremos por errores de captura).</w:t>
      </w:r>
    </w:p>
    <w:p>
      <w:pPr>
        <w:spacing w:before="0" w:after="120" w:line="276" w:lineRule="auto"/>
        <w:jc w:val="both"/>
      </w:pPr>
      <w:r>
        <w:rPr>
          <w:rFonts w:ascii="Times New Roman" w:hAnsi="Times New Roman" w:eastAsia="Times New Roman"/>
          <w:b w:val="0"/>
          <w:i w:val="0"/>
          <w:sz w:val="22"/>
          <w:u w:val="none"/>
        </w:rPr>
        <w:t>La estrategia de imputación siguió la semántica del dominio: variables categóricas con ausencia significativa (Alley, BsmtQual, PoolQC, etc.) se imputaron con “None” indicando ausencia de la característica; variables numéricas de área o conteo se imputaron con 0; LotFrontage se imputó con la mediana por vecindario, reflejando la correlación geográfica de esta variable. Las categorías restantes recibieron la moda y los numéricos la mediana global.</w:t>
      </w:r>
    </w:p>
    <w:p>
      <w:pPr>
        <w:spacing w:before="0" w:after="120" w:line="276" w:lineRule="auto"/>
        <w:jc w:val="both"/>
      </w:pPr>
      <w:r>
        <w:rPr>
          <w:rFonts w:ascii="Times New Roman" w:hAnsi="Times New Roman" w:eastAsia="Times New Roman"/>
          <w:b w:val="0"/>
          <w:i w:val="0"/>
          <w:sz w:val="22"/>
          <w:u w:val="none"/>
        </w:rPr>
        <w:t>El feature engineering añadió seis variables derivadas con alta significancia económica: TotalSF (suma de superficies de sótano, planta baja y segunda planta), HouseAge (antigüedad al momento de venta), YrsSincRemod (años desde la última remodelación), QualXArea (interacción calidad×área habitable — la variable de mayor importancia XGBoost con Gini=0.189), IsRemod (indicador de remodelación) y TotalBath (número efectivo de baños ponderado).</w:t>
      </w:r>
    </w:p>
    <w:p>
      <w:pPr>
        <w:spacing w:before="180" w:after="80"/>
        <w:jc w:val="left"/>
      </w:pPr>
      <w:r>
        <w:rPr>
          <w:rFonts w:ascii="Times New Roman" w:hAnsi="Times New Roman" w:eastAsia="Times New Roman"/>
          <w:b/>
          <w:i/>
          <w:sz w:val="22"/>
          <w:u w:val="none"/>
        </w:rPr>
        <w:t>B. Aprendizaje No Supervisado — selección del algoritmo</w:t>
      </w:r>
    </w:p>
    <w:p>
      <w:pPr>
        <w:spacing w:before="0" w:after="120" w:line="276" w:lineRule="auto"/>
        <w:jc w:val="both"/>
      </w:pPr>
      <w:r>
        <w:rPr>
          <w:rFonts w:ascii="Times New Roman" w:hAnsi="Times New Roman" w:eastAsia="Times New Roman"/>
          <w:b w:val="0"/>
          <w:i w:val="0"/>
          <w:sz w:val="22"/>
          <w:u w:val="none"/>
        </w:rPr>
        <w:t>Se evaluaron tres algoritmos de clustering sobre el conjunto completo de variables numéricas estandarizadas con StandardScaler. El número óptimo de clusters k=6 fue determinado por el método del codo (punto de inflexión en la curva de inercia) validado con el coeficiente de Silhouette máximo. Los resultados comparativos se presentan en la Tabla I.</w:t>
      </w:r>
    </w:p>
    <w:p>
      <w:pPr>
        <w:spacing w:before="140" w:after="80"/>
        <w:jc w:val="center"/>
      </w:pPr>
      <w:r>
        <w:rPr>
          <w:rFonts w:ascii="Times New Roman" w:hAnsi="Times New Roman" w:eastAsia="Times New Roman"/>
          <w:b/>
          <w:i w:val="0"/>
          <w:sz w:val="20"/>
          <w:u w:val="none"/>
        </w:rPr>
        <w:t>TABLA I. Comparativa de algoritmos de clustering</w:t>
      </w:r>
    </w:p>
    <w:tbl>
      <w:tblPr>
        <w:tblW w:type="dxa" w:w="936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3096"/>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Algoritmo</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Silhouette</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Clusters</w:t>
            </w:r>
          </w:p>
        </w:tc>
        <w:tc>
          <w:tcPr>
            <w:tcW w:type="dxa" w:w="1656"/>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Complejidad</w:t>
            </w:r>
          </w:p>
        </w:tc>
        <w:tc>
          <w:tcPr>
            <w:tcW w:type="dxa" w:w="158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Decisión</w:t>
            </w:r>
          </w:p>
        </w:tc>
      </w:tr>
      <w:tr>
        <w:tc>
          <w:tcPr>
            <w:tcW w:type="dxa" w:w="3096"/>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K-Means (k=6)</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0.142</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6</w:t>
            </w:r>
          </w:p>
        </w:tc>
        <w:tc>
          <w:tcPr>
            <w:tcW w:type="dxa" w:w="165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O(nkdi)</w:t>
            </w:r>
          </w:p>
        </w:tc>
        <w:tc>
          <w:tcPr>
            <w:tcW w:type="dxa" w:w="1584"/>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ELEGIDO ✓</w:t>
            </w:r>
          </w:p>
        </w:tc>
      </w:tr>
      <w:tr>
        <w:tc>
          <w:tcPr>
            <w:tcW w:type="dxa" w:w="3096"/>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Jerárquico Ward</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0.118</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6</w:t>
            </w:r>
          </w:p>
        </w:tc>
        <w:tc>
          <w:tcPr>
            <w:tcW w:type="dxa" w:w="165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O(n² log n)</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w:t>
            </w:r>
          </w:p>
        </w:tc>
      </w:tr>
      <w:tr>
        <w:tc>
          <w:tcPr>
            <w:tcW w:type="dxa" w:w="3096"/>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DBSCAN (ε=4)</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0.091</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Variable</w:t>
            </w:r>
          </w:p>
        </w:tc>
        <w:tc>
          <w:tcPr>
            <w:tcW w:type="dxa" w:w="165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O(n log n)</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w:t>
            </w:r>
          </w:p>
        </w:tc>
      </w:tr>
    </w:tbl>
    <w:p>
      <w:pPr>
        <w:spacing w:before="0" w:after="120" w:line="276" w:lineRule="auto"/>
        <w:jc w:val="both"/>
      </w:pPr>
      <w:r>
        <w:rPr>
          <w:rFonts w:ascii="Times New Roman" w:hAnsi="Times New Roman" w:eastAsia="Times New Roman"/>
          <w:b w:val="0"/>
          <w:i w:val="0"/>
          <w:sz w:val="22"/>
          <w:u w:val="none"/>
        </w:rPr>
        <w:t>K-Means fue seleccionado por su mayor Silhouette Score, interpretabilidad de centroides y eficiencia computacional. La interpretación económica de los seis clusters resultantes es: S0 — Mercado premium/luxury (precio medio $651,685); S1 — Micro nicho especial (18 predios, $160,888); S2 — Residencial estándar ($194,132); S3 — Segmento heterogéneo ($171,778); S4 — Pequeño/suburbano ($207,218); S5 — Mediano/familiar ($231,232).</w:t>
      </w:r>
    </w:p>
    <w:p>
      <w:pPr>
        <w:spacing w:before="180" w:after="80"/>
        <w:jc w:val="left"/>
      </w:pPr>
      <w:r>
        <w:rPr>
          <w:rFonts w:ascii="Times New Roman" w:hAnsi="Times New Roman" w:eastAsia="Times New Roman"/>
          <w:b/>
          <w:i/>
          <w:sz w:val="22"/>
          <w:u w:val="none"/>
        </w:rPr>
        <w:t>C. Aprendizaje Supervisado — modelo de predicción</w:t>
      </w:r>
    </w:p>
    <w:p>
      <w:pPr>
        <w:spacing w:before="0" w:after="120" w:line="276" w:lineRule="auto"/>
        <w:jc w:val="both"/>
      </w:pPr>
      <w:r>
        <w:rPr>
          <w:rFonts w:ascii="Times New Roman" w:hAnsi="Times New Roman" w:eastAsia="Times New Roman"/>
          <w:b w:val="0"/>
          <w:i w:val="0"/>
          <w:sz w:val="22"/>
          <w:u w:val="none"/>
        </w:rPr>
        <w:t>El cluster K-Means se incorporó como feature adicional del modelo supervisado (Cluster ∈ {0,...,5}), actuando como variable contextual que codifica el segmento de mercado del predio. Las variables categóricas fueron codificadas con one-hot encoding, resultando en ~280 features. La variable objetivo fue transformada como y = log(1 + SalePrice) para estabilizar varianza.</w:t>
      </w:r>
    </w:p>
    <w:p>
      <w:pPr>
        <w:spacing w:before="140" w:after="80"/>
        <w:jc w:val="center"/>
      </w:pPr>
      <w:r>
        <w:rPr>
          <w:rFonts w:ascii="Times New Roman" w:hAnsi="Times New Roman" w:eastAsia="Times New Roman"/>
          <w:b/>
          <w:i w:val="0"/>
          <w:sz w:val="20"/>
          <w:u w:val="none"/>
        </w:rPr>
        <w:t>TABLA II. Métricas de los modelos supervisados (test set 20%)</w:t>
      </w:r>
    </w:p>
    <w:tbl>
      <w:tblPr>
        <w:tblW w:type="dxa" w:w="936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66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Modelo</w:t>
            </w:r>
          </w:p>
        </w:tc>
        <w:tc>
          <w:tcPr>
            <w:tcW w:type="dxa" w:w="122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R²</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MAE ($)</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RMSE ($)</w:t>
            </w:r>
          </w:p>
        </w:tc>
        <w:tc>
          <w:tcPr>
            <w:tcW w:type="dxa" w:w="2448"/>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Parámetros</w:t>
            </w:r>
          </w:p>
        </w:tc>
      </w:tr>
      <w:tr>
        <w:tc>
          <w:tcPr>
            <w:tcW w:type="dxa" w:w="2664"/>
            <w:vAlign w:val="center"/>
            <w:tcBorders>
              <w:top w:val="single" w:sz="4" w:space="0" w:color="000000"/>
              <w:left w:val="single" w:sz="4" w:space="0" w:color="000000"/>
              <w:bottom w:val="single" w:sz="4" w:space="0" w:color="000000"/>
              <w:right w:val="single" w:sz="4" w:space="0" w:color="000000"/>
            </w:tcBorders>
            <w:shd w:fill="E8F5E9"/>
          </w:tcPr>
          <w:p>
            <w:pPr>
              <w:spacing w:after="0"/>
              <w:jc w:val="left"/>
            </w:pPr>
            <w:r>
              <w:rPr>
                <w:rFonts w:ascii="Times New Roman" w:hAnsi="Times New Roman" w:eastAsia="Times New Roman"/>
                <w:b w:val="0"/>
                <w:i w:val="0"/>
                <w:sz w:val="17"/>
                <w:u w:val="none"/>
              </w:rPr>
              <w:t>XGBoost (n=400)</w:t>
            </w:r>
          </w:p>
        </w:tc>
        <w:tc>
          <w:tcPr>
            <w:tcW w:type="dxa" w:w="1224"/>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0.9609</w:t>
            </w:r>
          </w:p>
        </w:tc>
        <w:tc>
          <w:tcPr>
            <w:tcW w:type="dxa" w:w="1512"/>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26,752</w:t>
            </w:r>
          </w:p>
        </w:tc>
        <w:tc>
          <w:tcPr>
            <w:tcW w:type="dxa" w:w="1512"/>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41,890</w:t>
            </w:r>
          </w:p>
        </w:tc>
        <w:tc>
          <w:tcPr>
            <w:tcW w:type="dxa" w:w="2448"/>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400 árboles, lr=0.05</w:t>
            </w:r>
          </w:p>
        </w:tc>
      </w:tr>
      <w:tr>
        <w:tc>
          <w:tcPr>
            <w:tcW w:type="dxa" w:w="266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LightGBM (n=400)</w:t>
            </w:r>
          </w:p>
        </w:tc>
        <w:tc>
          <w:tcPr>
            <w:tcW w:type="dxa" w:w="122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0.9589</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27,400</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42,200</w:t>
            </w:r>
          </w:p>
        </w:tc>
        <w:tc>
          <w:tcPr>
            <w:tcW w:type="dxa" w:w="244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400 hojas, lr=0.05</w:t>
            </w:r>
          </w:p>
        </w:tc>
      </w:tr>
      <w:tr>
        <w:tc>
          <w:tcPr>
            <w:tcW w:type="dxa" w:w="266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LightGBM Corte 2</w:t>
            </w:r>
          </w:p>
        </w:tc>
        <w:tc>
          <w:tcPr>
            <w:tcW w:type="dxa" w:w="122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0.7500</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23,600</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w:t>
            </w:r>
          </w:p>
        </w:tc>
        <w:tc>
          <w:tcPr>
            <w:tcW w:type="dxa" w:w="244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Baseline semestre</w:t>
            </w:r>
          </w:p>
        </w:tc>
      </w:tr>
    </w:tbl>
    <w:p>
      <w:pPr>
        <w:spacing w:before="0" w:after="120" w:line="276" w:lineRule="auto"/>
        <w:jc w:val="both"/>
      </w:pPr>
      <w:r>
        <w:rPr>
          <w:rFonts w:ascii="Times New Roman" w:hAnsi="Times New Roman" w:eastAsia="Times New Roman"/>
          <w:b w:val="0"/>
          <w:i w:val="0"/>
          <w:sz w:val="22"/>
          <w:u w:val="none"/>
        </w:rPr>
        <w:t>El incremento de R² desde 0.75 (LightGBM, Corte 2) a 0.9609 (XGBoost, Corte 3) se explica por: (a) expansión del dataset de 2,930 a 20,203 registros; (b) feature engineering con QualXArea como variable dominante; (c) incorporación del cluster K-Means como feature contextual (+0.031 R²); y (d) transformación logarítmica del target. XGBoost fue seleccionado como modelo final por su mayor R² y menor MAE en el test set.</w:t>
      </w:r>
    </w:p>
    <w:p>
      <w:pPr>
        <w:spacing w:before="180" w:after="80"/>
        <w:jc w:val="left"/>
      </w:pPr>
      <w:r>
        <w:rPr>
          <w:rFonts w:ascii="Times New Roman" w:hAnsi="Times New Roman" w:eastAsia="Times New Roman"/>
          <w:b/>
          <w:i/>
          <w:sz w:val="22"/>
          <w:u w:val="none"/>
        </w:rPr>
        <w:t>D. Diseño del ambiente RL</w:t>
      </w:r>
    </w:p>
    <w:p>
      <w:pPr>
        <w:spacing w:before="0" w:after="60" w:line="276" w:lineRule="auto"/>
        <w:jc w:val="both"/>
      </w:pPr>
      <w:r>
        <w:rPr>
          <w:rFonts w:ascii="Times New Roman" w:hAnsi="Times New Roman" w:eastAsia="Times New Roman"/>
          <w:b w:val="0"/>
          <w:i w:val="0"/>
          <w:sz w:val="22"/>
          <w:u w:val="none"/>
        </w:rPr>
        <w:t>El ambiente RL se formula como MDP (S, A, P, R, gamma) con los siguientes componentes:</w:t>
      </w:r>
    </w:p>
    <w:p>
      <w:pPr>
        <w:spacing w:before="0" w:after="60" w:line="276" w:lineRule="auto"/>
        <w:ind w:left="360"/>
        <w:jc w:val="both"/>
      </w:pPr>
      <w:r>
        <w:rPr>
          <w:rFonts w:ascii="Times New Roman" w:hAnsi="Times New Roman" w:eastAsia="Times New Roman"/>
          <w:b/>
          <w:i w:val="0"/>
          <w:sz w:val="22"/>
          <w:u w:val="none"/>
        </w:rPr>
        <w:t xml:space="preserve">Estados: </w:t>
      </w:r>
      <w:r>
        <w:rPr>
          <w:rFonts w:ascii="Times New Roman" w:hAnsi="Times New Roman" w:eastAsia="Times New Roman"/>
          <w:b w:val="0"/>
          <w:i w:val="0"/>
          <w:sz w:val="22"/>
          <w:u w:val="none"/>
        </w:rPr>
        <w:t>S = {S0, S1, S2, S3, S4, S5}, los 6 clusters K-Means. Cada estado agrupa predios con perfil económico similar y error de predicción homogéneo.</w:t>
      </w:r>
    </w:p>
    <w:p>
      <w:pPr>
        <w:spacing w:before="0" w:after="60" w:line="276" w:lineRule="auto"/>
        <w:ind w:left="360"/>
        <w:jc w:val="both"/>
      </w:pPr>
      <w:r>
        <w:rPr>
          <w:rFonts w:ascii="Times New Roman" w:hAnsi="Times New Roman" w:eastAsia="Times New Roman"/>
          <w:b/>
          <w:i w:val="0"/>
          <w:sz w:val="22"/>
          <w:u w:val="none"/>
        </w:rPr>
        <w:t xml:space="preserve">Acciones: </w:t>
      </w:r>
      <w:r>
        <w:rPr>
          <w:rFonts w:ascii="Times New Roman" w:hAnsi="Times New Roman" w:eastAsia="Times New Roman"/>
          <w:b w:val="0"/>
          <w:i w:val="0"/>
          <w:sz w:val="22"/>
          <w:u w:val="none"/>
        </w:rPr>
        <w:t>A = {APROBAR, REVISAR, RECHAZAR}. APROBAR emite la valuación automática directamente. REVISAR deriva a tasador humano. RECHAZAR solicita documentación adicional.</w:t>
      </w:r>
    </w:p>
    <w:p>
      <w:pPr>
        <w:spacing w:before="0" w:after="60" w:line="276" w:lineRule="auto"/>
        <w:ind w:left="360"/>
        <w:jc w:val="both"/>
      </w:pPr>
      <w:r>
        <w:rPr>
          <w:rFonts w:ascii="Times New Roman" w:hAnsi="Times New Roman" w:eastAsia="Times New Roman"/>
          <w:b/>
          <w:i w:val="0"/>
          <w:sz w:val="22"/>
          <w:u w:val="none"/>
        </w:rPr>
        <w:t xml:space="preserve">Transiciones P(s'|s): </w:t>
      </w:r>
      <w:r>
        <w:rPr>
          <w:rFonts w:ascii="Times New Roman" w:hAnsi="Times New Roman" w:eastAsia="Times New Roman"/>
          <w:b w:val="0"/>
          <w:i w:val="0"/>
          <w:sz w:val="22"/>
          <w:u w:val="none"/>
        </w:rPr>
        <w:t>Estimadas por conteo histórico en el dataset temporal (la secuencia de ventas por año define trayectorias de mercado). Los estados son “pegajosos”: P(S2→S2)=0.958, P(S5→S5)=0.864, reflejando estabilidad del mercado.</w:t>
      </w:r>
    </w:p>
    <w:p>
      <w:pPr>
        <w:spacing w:before="0" w:after="60" w:line="276" w:lineRule="auto"/>
        <w:ind w:left="360"/>
        <w:jc w:val="both"/>
      </w:pPr>
      <w:r>
        <w:rPr>
          <w:rFonts w:ascii="Times New Roman" w:hAnsi="Times New Roman" w:eastAsia="Times New Roman"/>
          <w:b/>
          <w:i w:val="0"/>
          <w:sz w:val="22"/>
          <w:u w:val="none"/>
        </w:rPr>
        <w:t xml:space="preserve">Recompensa R(s,a): </w:t>
      </w:r>
      <w:r>
        <w:rPr>
          <w:rFonts w:ascii="Times New Roman" w:hAnsi="Times New Roman" w:eastAsia="Times New Roman"/>
          <w:b w:val="0"/>
          <w:i w:val="0"/>
          <w:sz w:val="22"/>
          <w:u w:val="none"/>
        </w:rPr>
        <w:t>Función económica basada en el error relativo del XGBoost e=|p̂-p|/p (Tabla III). Los valores fueron calibrados con los costos reales del proceso: tasador humano ~$150 USD, litigio por valuación incorrecta ~$2,000 USD, beneficio de valuación correcta ~$200 USD.</w:t>
      </w:r>
    </w:p>
    <w:p>
      <w:pPr>
        <w:spacing w:before="140" w:after="80"/>
        <w:jc w:val="center"/>
      </w:pPr>
      <w:r>
        <w:rPr>
          <w:rFonts w:ascii="Times New Roman" w:hAnsi="Times New Roman" w:eastAsia="Times New Roman"/>
          <w:b/>
          <w:i w:val="0"/>
          <w:sz w:val="20"/>
          <w:u w:val="none"/>
        </w:rPr>
        <w:t>TABLA III. Función de recompensa R(error, acción) — SAVI v2.0</w:t>
      </w:r>
    </w:p>
    <w:tbl>
      <w:tblPr>
        <w:tblW w:type="dxa" w:w="936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Condición (error e)</w:t>
            </w:r>
          </w:p>
        </w:tc>
        <w:tc>
          <w:tcPr>
            <w:tcW w:type="dxa" w:w="216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APROBAR</w:t>
            </w:r>
          </w:p>
        </w:tc>
        <w:tc>
          <w:tcPr>
            <w:tcW w:type="dxa" w:w="216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REVISAR</w:t>
            </w:r>
          </w:p>
        </w:tc>
        <w:tc>
          <w:tcPr>
            <w:tcW w:type="dxa" w:w="216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RECHAZAR</w:t>
            </w:r>
          </w:p>
        </w:tc>
      </w:tr>
      <w:tr>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e &lt; 10% (alta precisión)</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+$200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−$150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−$200</w:t>
            </w:r>
          </w:p>
        </w:tc>
      </w:tr>
      <w:tr>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10% ≤ e &lt; 25% (moderado)</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−$500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−$200</w:t>
            </w:r>
          </w:p>
        </w:tc>
      </w:tr>
      <w:tr>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e ≥ 25% (error grave)</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−$2,000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−$50</w:t>
            </w:r>
          </w:p>
        </w:tc>
        <w:tc>
          <w:tcPr>
            <w:tcW w:type="dxa" w:w="216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+$50</w:t>
            </w:r>
          </w:p>
        </w:tc>
      </w:tr>
    </w:tbl>
    <w:p>
      <w:pPr>
        <w:spacing w:before="0" w:after="120" w:line="276" w:lineRule="auto"/>
        <w:jc w:val="both"/>
      </w:pPr>
      <w:r>
        <w:rPr>
          <w:rFonts w:ascii="Times New Roman" w:hAnsi="Times New Roman" w:eastAsia="Times New Roman"/>
          <w:b/>
          <w:i w:val="0"/>
          <w:sz w:val="22"/>
          <w:u w:val="none"/>
        </w:rPr>
        <w:t xml:space="preserve">Parámetros RL: </w:t>
      </w:r>
      <w:r>
        <w:rPr>
          <w:rFonts w:ascii="Times New Roman" w:hAnsi="Times New Roman" w:eastAsia="Times New Roman"/>
          <w:b w:val="0"/>
          <w:i w:val="0"/>
          <w:sz w:val="22"/>
          <w:u w:val="none"/>
        </w:rPr>
        <w:t>Factor de descuento gamma=0.95 (alto peso a recompensas futuras, coherente con la naturaleza de largo plazo del mercado inmobiliario). Umbral de convergencia θ=0.0001. Tasa de aprendizaje Q-Learning α=0.10. Epsilon inicial epsilon inicial=1.0 con decaimiento multiplicativo epsilon &lt;- max(0.05, epsilon*0.995).</w:t>
      </w:r>
    </w:p>
    <w:p>
      <w:pPr>
        <w:spacing w:before="180" w:after="80"/>
        <w:jc w:val="left"/>
      </w:pPr>
      <w:r>
        <w:rPr>
          <w:rFonts w:ascii="Times New Roman" w:hAnsi="Times New Roman" w:eastAsia="Times New Roman"/>
          <w:b/>
          <w:i/>
          <w:sz w:val="22"/>
          <w:u w:val="none"/>
        </w:rPr>
        <w:t>E. Implementación RL — tres métodos</w:t>
      </w:r>
    </w:p>
    <w:p>
      <w:pPr>
        <w:spacing w:before="0" w:after="80" w:line="276" w:lineRule="auto"/>
        <w:jc w:val="both"/>
      </w:pPr>
      <w:r>
        <w:rPr>
          <w:rFonts w:ascii="Times New Roman" w:hAnsi="Times New Roman" w:eastAsia="Times New Roman"/>
          <w:b/>
          <w:i w:val="0"/>
          <w:sz w:val="22"/>
          <w:u w:val="none"/>
        </w:rPr>
        <w:t xml:space="preserve">MDP + Value Iteration: </w:t>
      </w:r>
      <w:r>
        <w:rPr>
          <w:rFonts w:ascii="Times New Roman" w:hAnsi="Times New Roman" w:eastAsia="Times New Roman"/>
          <w:b w:val="0"/>
          <w:i w:val="0"/>
          <w:sz w:val="22"/>
          <w:u w:val="none"/>
        </w:rPr>
        <w:t>Implementación directa de la ecuación de Bellman con actualización síncrona en 6 estados. Convergió en 259 iteraciones (Δ&lt;0.0001). Sirve como solución de referencia exacta dado que P(s'|s) y R(s,a) son conocidos.</w:t>
      </w:r>
    </w:p>
    <w:p>
      <w:pPr>
        <w:spacing w:before="0" w:after="80" w:line="276" w:lineRule="auto"/>
        <w:jc w:val="both"/>
      </w:pPr>
      <w:r>
        <w:rPr>
          <w:rFonts w:ascii="Times New Roman" w:hAnsi="Times New Roman" w:eastAsia="Times New Roman"/>
          <w:b/>
          <w:i w:val="0"/>
          <w:sz w:val="22"/>
          <w:u w:val="none"/>
        </w:rPr>
        <w:t xml:space="preserve">Q-Learning tabular: </w:t>
      </w:r>
      <w:r>
        <w:rPr>
          <w:rFonts w:ascii="Times New Roman" w:hAnsi="Times New Roman" w:eastAsia="Times New Roman"/>
          <w:b w:val="0"/>
          <w:i w:val="0"/>
          <w:sz w:val="22"/>
          <w:u w:val="none"/>
        </w:rPr>
        <w:t>Tabla Q de 6×3=18 valores. Entrenamiento sobre 8,000 episodios con muestreo de los 4,040 predios del test set por episodio. Las transiciones se simulan muestreando P(s'|s) empírica. La política ε-greedy con decaimiento logró convergencia a la política VI a partir del episodio ~4,000.</w:t>
      </w:r>
    </w:p>
    <w:p>
      <w:pPr>
        <w:spacing w:before="0" w:after="120" w:line="276" w:lineRule="auto"/>
        <w:jc w:val="both"/>
      </w:pPr>
      <w:r>
        <w:rPr>
          <w:rFonts w:ascii="Times New Roman" w:hAnsi="Times New Roman" w:eastAsia="Times New Roman"/>
          <w:b/>
          <w:i w:val="0"/>
          <w:sz w:val="22"/>
          <w:u w:val="none"/>
        </w:rPr>
        <w:t xml:space="preserve">Deep Q-Network: </w:t>
      </w:r>
      <w:r>
        <w:rPr>
          <w:rFonts w:ascii="Times New Roman" w:hAnsi="Times New Roman" w:eastAsia="Times New Roman"/>
          <w:b w:val="0"/>
          <w:i w:val="0"/>
          <w:sz w:val="22"/>
          <w:u w:val="none"/>
        </w:rPr>
        <w:t>Estado continuo de 20 dimensiones (top-20 features por importancia XGBoost, normalizadas con MinMaxScaler). Arquitectura: FC(20→128)+BatchNorm1d+ReLU+Dropout(0.2) → FC(128→64)+ReLU → FC(64→3). Optimizador Adam (lr=3e-4), scheduler StepLR(step=50, gamma=0.5), buffer Experience Replay de capacidad 20,000, batch size 128, actualización Target Network cada 200 pasos, pérdida Huber (SmoothL1Loss), gradient clipping (norma &lt;= 1.0). Entrenado por 150 épocas completas sobre el dataset de 20,203 predios.</w:t>
      </w:r>
    </w:p>
    <w:p>
      <w:pPr>
        <w:spacing w:before="240" w:after="120"/>
        <w:jc w:val="left"/>
        <w:pBdr>
          <w:bottom w:val="single" w:sz="6" w:space="2" w:color="000000"/>
        </w:pBdr>
      </w:pPr>
      <w:r>
        <w:rPr>
          <w:rFonts w:ascii="Times New Roman" w:hAnsi="Times New Roman" w:eastAsia="Times New Roman"/>
          <w:b/>
          <w:i w:val="0"/>
          <w:sz w:val="22"/>
          <w:u w:val="none"/>
        </w:rPr>
        <w:t>IV. RESULTADOS Y DISCUSIÓN</w:t>
      </w:r>
    </w:p>
    <w:p>
      <w:pPr>
        <w:spacing w:before="180" w:after="80"/>
        <w:jc w:val="left"/>
      </w:pPr>
      <w:r>
        <w:rPr>
          <w:rFonts w:ascii="Times New Roman" w:hAnsi="Times New Roman" w:eastAsia="Times New Roman"/>
          <w:b/>
          <w:i/>
          <w:sz w:val="22"/>
          <w:u w:val="none"/>
        </w:rPr>
        <w:t>A. Política óptima emergente</w:t>
      </w:r>
    </w:p>
    <w:p>
      <w:pPr>
        <w:spacing w:before="0" w:after="120" w:line="276" w:lineRule="auto"/>
        <w:jc w:val="both"/>
      </w:pPr>
      <w:r>
        <w:rPr>
          <w:rFonts w:ascii="Times New Roman" w:hAnsi="Times New Roman" w:eastAsia="Times New Roman"/>
          <w:b w:val="0"/>
          <w:i w:val="0"/>
          <w:sz w:val="22"/>
          <w:u w:val="none"/>
        </w:rPr>
        <w:t>La política óptima derivada de los tres métodos RL es consistente en la distribución de acciones. La Tabla IV presenta las Q-values y política para cada estado del MDP, derivada de Value Iteration (solución exacta).</w:t>
      </w:r>
    </w:p>
    <w:p>
      <w:pPr>
        <w:spacing w:before="140" w:after="80"/>
        <w:jc w:val="center"/>
      </w:pPr>
      <w:r>
        <w:rPr>
          <w:rFonts w:ascii="Times New Roman" w:hAnsi="Times New Roman" w:eastAsia="Times New Roman"/>
          <w:b/>
          <w:i w:val="0"/>
          <w:sz w:val="20"/>
          <w:u w:val="none"/>
        </w:rPr>
        <w:t>TABLA IV. Política óptima pi*(s) y Q-values — Value Iteration</w:t>
      </w:r>
    </w:p>
    <w:tbl>
      <w:tblPr>
        <w:tblW w:type="dxa" w:w="936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79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S</w:t>
            </w:r>
          </w:p>
        </w:tc>
        <w:tc>
          <w:tcPr>
            <w:tcW w:type="dxa" w:w="158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Precio med.</w:t>
            </w:r>
          </w:p>
        </w:tc>
        <w:tc>
          <w:tcPr>
            <w:tcW w:type="dxa" w:w="1368"/>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Q(APR)</w:t>
            </w:r>
          </w:p>
        </w:tc>
        <w:tc>
          <w:tcPr>
            <w:tcW w:type="dxa" w:w="1368"/>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Q(REV)</w:t>
            </w:r>
          </w:p>
        </w:tc>
        <w:tc>
          <w:tcPr>
            <w:tcW w:type="dxa" w:w="1368"/>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Q(REC)</w:t>
            </w:r>
          </w:p>
        </w:tc>
        <w:tc>
          <w:tcPr>
            <w:tcW w:type="dxa" w:w="1368"/>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V*(s)</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pi*(s)</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S0</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$651,685</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−167.0</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−110.8</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−177.2</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−110.8</w:t>
            </w:r>
          </w:p>
        </w:tc>
        <w:tc>
          <w:tcPr>
            <w:tcW w:type="dxa" w:w="1512"/>
            <w:vAlign w:val="center"/>
            <w:tcBorders>
              <w:top w:val="single" w:sz="4" w:space="0" w:color="000000"/>
              <w:left w:val="single" w:sz="4" w:space="0" w:color="000000"/>
              <w:bottom w:val="single" w:sz="4" w:space="0" w:color="000000"/>
              <w:right w:val="single" w:sz="4" w:space="0" w:color="000000"/>
            </w:tcBorders>
            <w:shd w:fill="FFF9E6"/>
          </w:tcPr>
          <w:p>
            <w:pPr>
              <w:spacing w:after="0"/>
              <w:jc w:val="center"/>
            </w:pPr>
            <w:r>
              <w:rPr>
                <w:rFonts w:ascii="Times New Roman" w:hAnsi="Times New Roman" w:eastAsia="Times New Roman"/>
                <w:b w:val="0"/>
                <w:i w:val="0"/>
                <w:sz w:val="17"/>
                <w:u w:val="none"/>
              </w:rPr>
              <w:t>REVISAR</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S1</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$160,888</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−4.8</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−124.6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−187.6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−4.8</w:t>
            </w:r>
          </w:p>
        </w:tc>
        <w:tc>
          <w:tcPr>
            <w:tcW w:type="dxa" w:w="1512"/>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APROBAR</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S2</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$194,132</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−133.7</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−111.5</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−172.6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−111.5</w:t>
            </w:r>
          </w:p>
        </w:tc>
        <w:tc>
          <w:tcPr>
            <w:tcW w:type="dxa" w:w="1512"/>
            <w:vAlign w:val="center"/>
            <w:tcBorders>
              <w:top w:val="single" w:sz="4" w:space="0" w:color="000000"/>
              <w:left w:val="single" w:sz="4" w:space="0" w:color="000000"/>
              <w:bottom w:val="single" w:sz="4" w:space="0" w:color="000000"/>
              <w:right w:val="single" w:sz="4" w:space="0" w:color="000000"/>
            </w:tcBorders>
            <w:shd w:fill="FFF9E6"/>
          </w:tcPr>
          <w:p>
            <w:pPr>
              <w:spacing w:after="0"/>
              <w:jc w:val="center"/>
            </w:pPr>
            <w:r>
              <w:rPr>
                <w:rFonts w:ascii="Times New Roman" w:hAnsi="Times New Roman" w:eastAsia="Times New Roman"/>
                <w:b w:val="0"/>
                <w:i w:val="0"/>
                <w:sz w:val="17"/>
                <w:u w:val="none"/>
              </w:rPr>
              <w:t>REVISAR</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S3</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$171,778</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−1,997.5</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−147.6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+52.4</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+52.4</w:t>
            </w:r>
          </w:p>
        </w:tc>
        <w:tc>
          <w:tcPr>
            <w:tcW w:type="dxa" w:w="1512"/>
            <w:vAlign w:val="center"/>
            <w:tcBorders>
              <w:top w:val="single" w:sz="4" w:space="0" w:color="000000"/>
              <w:left w:val="single" w:sz="4" w:space="0" w:color="000000"/>
              <w:bottom w:val="single" w:sz="4" w:space="0" w:color="000000"/>
              <w:right w:val="single" w:sz="4" w:space="0" w:color="000000"/>
            </w:tcBorders>
            <w:shd w:fill="FFEBEE"/>
          </w:tcPr>
          <w:p>
            <w:pPr>
              <w:spacing w:after="0"/>
              <w:jc w:val="center"/>
            </w:pPr>
            <w:r>
              <w:rPr>
                <w:rFonts w:ascii="Times New Roman" w:hAnsi="Times New Roman" w:eastAsia="Times New Roman"/>
                <w:b w:val="0"/>
                <w:i w:val="0"/>
                <w:sz w:val="17"/>
                <w:u w:val="none"/>
              </w:rPr>
              <w:t>RECHAZAR</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S4</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$207,218</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−3.4</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−116.6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−182.6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−3.4</w:t>
            </w:r>
          </w:p>
        </w:tc>
        <w:tc>
          <w:tcPr>
            <w:tcW w:type="dxa" w:w="1512"/>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APROBAR</w:t>
            </w:r>
          </w:p>
        </w:tc>
      </w:tr>
      <w:tr>
        <w:tc>
          <w:tcPr>
            <w:tcW w:type="dxa" w:w="792"/>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S5</w:t>
            </w:r>
          </w:p>
        </w:tc>
        <w:tc>
          <w:tcPr>
            <w:tcW w:type="dxa" w:w="158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$231,232</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−3.4</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−124.6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−187.6</w:t>
            </w:r>
          </w:p>
        </w:tc>
        <w:tc>
          <w:tcPr>
            <w:tcW w:type="dxa" w:w="1368"/>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−3.4</w:t>
            </w:r>
          </w:p>
        </w:tc>
        <w:tc>
          <w:tcPr>
            <w:tcW w:type="dxa" w:w="1512"/>
            <w:vAlign w:val="center"/>
            <w:tcBorders>
              <w:top w:val="single" w:sz="4" w:space="0" w:color="000000"/>
              <w:left w:val="single" w:sz="4" w:space="0" w:color="000000"/>
              <w:bottom w:val="single" w:sz="4" w:space="0" w:color="000000"/>
              <w:right w:val="single" w:sz="4" w:space="0" w:color="000000"/>
            </w:tcBorders>
            <w:shd w:fill="E8F5E9"/>
          </w:tcPr>
          <w:p>
            <w:pPr>
              <w:spacing w:after="0"/>
              <w:jc w:val="center"/>
            </w:pPr>
            <w:r>
              <w:rPr>
                <w:rFonts w:ascii="Times New Roman" w:hAnsi="Times New Roman" w:eastAsia="Times New Roman"/>
                <w:b w:val="0"/>
                <w:i w:val="0"/>
                <w:sz w:val="17"/>
                <w:u w:val="none"/>
              </w:rPr>
              <w:t>APROBAR</w:t>
            </w:r>
          </w:p>
        </w:tc>
      </w:tr>
    </w:tbl>
    <w:p>
      <w:pPr>
        <w:spacing w:before="180" w:after="80"/>
        <w:jc w:val="left"/>
      </w:pPr>
      <w:r>
        <w:rPr>
          <w:rFonts w:ascii="Times New Roman" w:hAnsi="Times New Roman" w:eastAsia="Times New Roman"/>
          <w:b/>
          <w:i/>
          <w:sz w:val="22"/>
          <w:u w:val="none"/>
        </w:rPr>
        <w:t>B. Las tres reglas de oro</w:t>
      </w:r>
    </w:p>
    <w:p>
      <w:pPr>
        <w:spacing w:before="0" w:after="120" w:line="276" w:lineRule="auto"/>
        <w:jc w:val="both"/>
      </w:pPr>
      <w:r>
        <w:rPr>
          <w:rFonts w:ascii="Times New Roman" w:hAnsi="Times New Roman" w:eastAsia="Times New Roman"/>
          <w:b/>
          <w:i w:val="0"/>
          <w:sz w:val="22"/>
          <w:u w:val="none"/>
        </w:rPr>
        <w:t xml:space="preserve">Regla 1 — S1, S4, S5 → APROBAR (34.4% del mercado): </w:t>
      </w:r>
      <w:r>
        <w:rPr>
          <w:rFonts w:ascii="Times New Roman" w:hAnsi="Times New Roman" w:eastAsia="Times New Roman"/>
          <w:b w:val="0"/>
          <w:i w:val="0"/>
          <w:sz w:val="22"/>
          <w:u w:val="none"/>
        </w:rPr>
        <w:t>En estos clusters el modelo XGBoost tiene error relativo medio menor al 10%. La recompensa esperada de APROBAR supera significativamente a la de REVISAR (−$3.4 vs −$124.6 para S4/S5). El agente aprendió a automatizar los segmentos donde el modelo es confiable, maximizando el throughput del sistema.</w:t>
      </w:r>
    </w:p>
    <w:p>
      <w:pPr>
        <w:spacing w:before="0" w:after="120" w:line="276" w:lineRule="auto"/>
        <w:jc w:val="both"/>
      </w:pPr>
      <w:r>
        <w:rPr>
          <w:rFonts w:ascii="Times New Roman" w:hAnsi="Times New Roman" w:eastAsia="Times New Roman"/>
          <w:b/>
          <w:i w:val="0"/>
          <w:sz w:val="22"/>
          <w:u w:val="none"/>
        </w:rPr>
        <w:t xml:space="preserve">Regla 2 — S0, S2 → REVISAR (62.1% del mercado): </w:t>
      </w:r>
      <w:r>
        <w:rPr>
          <w:rFonts w:ascii="Times New Roman" w:hAnsi="Times New Roman" w:eastAsia="Times New Roman"/>
          <w:b w:val="0"/>
          <w:i w:val="0"/>
          <w:sz w:val="22"/>
          <w:u w:val="none"/>
        </w:rPr>
        <w:t>Estos clusters concentran el 62.1% del volumen de transacciones y presentan mayor heterogeneidad interna. En S0 (mercado premium, $651K promedio), el error del XGBoost en predios de alta singularidad puede ser &gt;25%, con recompensa de APROBAR = −$2,000. La diferencia Q(REVISAR) − Q(APROBAR) = 56.2 para S0 indica que la revisión humana es sistemáticamente preferible. Este comportamiento emergió de la ecuación de Bellman sin ser programado.</w:t>
      </w:r>
    </w:p>
    <w:p>
      <w:pPr>
        <w:spacing w:before="0" w:after="120" w:line="276" w:lineRule="auto"/>
        <w:jc w:val="both"/>
      </w:pPr>
      <w:r>
        <w:rPr>
          <w:rFonts w:ascii="Times New Roman" w:hAnsi="Times New Roman" w:eastAsia="Times New Roman"/>
          <w:b/>
          <w:i w:val="0"/>
          <w:sz w:val="22"/>
          <w:u w:val="none"/>
        </w:rPr>
        <w:t xml:space="preserve">Regla 3 — S3 → RECHAZAR (3.5% del mercado): </w:t>
      </w:r>
      <w:r>
        <w:rPr>
          <w:rFonts w:ascii="Times New Roman" w:hAnsi="Times New Roman" w:eastAsia="Times New Roman"/>
          <w:b w:val="0"/>
          <w:i w:val="0"/>
          <w:sz w:val="22"/>
          <w:u w:val="none"/>
        </w:rPr>
        <w:t>El hallazgo más contraintuitivo. S3 presenta R(APROBAR) = −$2,000 pero R(RECHAZAR) = +$50. El agente descubrió que en predios con alta incertidumbre y datos incompletos, solicitar más información (+$50) produce mayor valor descontado (V*=+$52.4) que valuar con el modelo disponible. Esta es la regla que distingue un sistema robusto de uno naïve: el agente aprende a reconocer los límites del modelo.</w:t>
      </w:r>
    </w:p>
    <w:p>
      <w:pPr>
        <w:spacing w:before="180" w:after="80"/>
        <w:jc w:val="left"/>
      </w:pPr>
      <w:r>
        <w:rPr>
          <w:rFonts w:ascii="Times New Roman" w:hAnsi="Times New Roman" w:eastAsia="Times New Roman"/>
          <w:b/>
          <w:i/>
          <w:sz w:val="22"/>
          <w:u w:val="none"/>
        </w:rPr>
        <w:t>C. Comparativa de métodos RL</w:t>
      </w:r>
    </w:p>
    <w:p>
      <w:pPr>
        <w:spacing w:before="140" w:after="80"/>
        <w:jc w:val="center"/>
      </w:pPr>
      <w:r>
        <w:rPr>
          <w:rFonts w:ascii="Times New Roman" w:hAnsi="Times New Roman" w:eastAsia="Times New Roman"/>
          <w:b/>
          <w:i w:val="0"/>
          <w:sz w:val="20"/>
          <w:u w:val="none"/>
        </w:rPr>
        <w:t>TABLA V. Comparativa de los tres métodos de Aprendizaje por Refuerzo</w:t>
      </w:r>
    </w:p>
    <w:tbl>
      <w:tblPr>
        <w:tblW w:type="dxa" w:w="936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94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Método</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Tipo</w:t>
            </w:r>
          </w:p>
        </w:tc>
        <w:tc>
          <w:tcPr>
            <w:tcW w:type="dxa" w:w="151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Estado</w:t>
            </w:r>
          </w:p>
        </w:tc>
        <w:tc>
          <w:tcPr>
            <w:tcW w:type="dxa" w:w="187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Convergencia</w:t>
            </w:r>
          </w:p>
        </w:tc>
        <w:tc>
          <w:tcPr>
            <w:tcW w:type="dxa" w:w="144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Reward/pred.</w:t>
            </w:r>
          </w:p>
        </w:tc>
        <w:tc>
          <w:tcPr>
            <w:tcW w:type="dxa" w:w="1296"/>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Acuerdo VI</w:t>
            </w:r>
          </w:p>
        </w:tc>
      </w:tr>
      <w:tr>
        <w:tc>
          <w:tcPr>
            <w:tcW w:type="dxa" w:w="194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MDP Value Iter.</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Model-based</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Discreto 6D</w:t>
            </w:r>
          </w:p>
        </w:tc>
        <w:tc>
          <w:tcPr>
            <w:tcW w:type="dxa" w:w="187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259 iteraciones</w:t>
            </w:r>
          </w:p>
        </w:tc>
        <w:tc>
          <w:tcPr>
            <w:tcW w:type="dxa" w:w="144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−58.2</w:t>
            </w:r>
          </w:p>
        </w:tc>
        <w:tc>
          <w:tcPr>
            <w:tcW w:type="dxa" w:w="129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w:t>
            </w:r>
          </w:p>
        </w:tc>
      </w:tr>
      <w:tr>
        <w:tc>
          <w:tcPr>
            <w:tcW w:type="dxa" w:w="194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Q-Learning</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Model-free</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Discreto 6D</w:t>
            </w:r>
          </w:p>
        </w:tc>
        <w:tc>
          <w:tcPr>
            <w:tcW w:type="dxa" w:w="187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~4,000 ep / 8,000</w:t>
            </w:r>
          </w:p>
        </w:tc>
        <w:tc>
          <w:tcPr>
            <w:tcW w:type="dxa" w:w="144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−58.7</w:t>
            </w:r>
          </w:p>
        </w:tc>
        <w:tc>
          <w:tcPr>
            <w:tcW w:type="dxa" w:w="129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100%</w:t>
            </w:r>
          </w:p>
        </w:tc>
      </w:tr>
      <w:tr>
        <w:tc>
          <w:tcPr>
            <w:tcW w:type="dxa" w:w="194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DQN (PyTorch)</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Model-free</w:t>
            </w:r>
          </w:p>
        </w:tc>
        <w:tc>
          <w:tcPr>
            <w:tcW w:type="dxa" w:w="151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Continuo 20D</w:t>
            </w:r>
          </w:p>
        </w:tc>
        <w:tc>
          <w:tcPr>
            <w:tcW w:type="dxa" w:w="187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~80 épocas / 150</w:t>
            </w:r>
          </w:p>
        </w:tc>
        <w:tc>
          <w:tcPr>
            <w:tcW w:type="dxa" w:w="144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−57.1</w:t>
            </w:r>
          </w:p>
        </w:tc>
        <w:tc>
          <w:tcPr>
            <w:tcW w:type="dxa" w:w="1296"/>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83%</w:t>
            </w:r>
          </w:p>
        </w:tc>
      </w:tr>
    </w:tbl>
    <w:p>
      <w:pPr>
        <w:spacing w:before="0" w:after="120" w:line="276" w:lineRule="auto"/>
        <w:jc w:val="both"/>
      </w:pPr>
      <w:r>
        <w:rPr>
          <w:rFonts w:ascii="Times New Roman" w:hAnsi="Times New Roman" w:eastAsia="Times New Roman"/>
          <w:b w:val="0"/>
          <w:i w:val="0"/>
          <w:sz w:val="22"/>
          <w:u w:val="none"/>
        </w:rPr>
        <w:t>La concordancia del 100% entre VI y Q-Learning confirma la consistencia del framework MDP. La divergencia del 17% del DQN respecto a VI es esperada y deseable: el DQN opera en espacio continuo y puede distinguir predios dentro de un mismo cluster que VI trata idénticamente. El reward ligeramente superior del DQN (−57.1 vs −58.2) evidencia esta capacidad de discriminación fina.</w:t>
      </w:r>
    </w:p>
    <w:p>
      <w:pPr>
        <w:spacing w:before="180" w:after="80"/>
        <w:jc w:val="left"/>
      </w:pPr>
      <w:r>
        <w:rPr>
          <w:rFonts w:ascii="Times New Roman" w:hAnsi="Times New Roman" w:eastAsia="Times New Roman"/>
          <w:b/>
          <w:i/>
          <w:sz w:val="22"/>
          <w:u w:val="none"/>
        </w:rPr>
        <w:t>D. Análisis de feature importance y estado DQN</w:t>
      </w:r>
    </w:p>
    <w:p>
      <w:pPr>
        <w:spacing w:before="0" w:after="120" w:line="276" w:lineRule="auto"/>
        <w:jc w:val="both"/>
      </w:pPr>
      <w:r>
        <w:rPr>
          <w:rFonts w:ascii="Times New Roman" w:hAnsi="Times New Roman" w:eastAsia="Times New Roman"/>
          <w:b w:val="0"/>
          <w:i w:val="0"/>
          <w:sz w:val="22"/>
          <w:u w:val="none"/>
        </w:rPr>
        <w:t>Las top-5 features por importancia Gini del XGBoost son: QualXArea (0.189), OverallQual (0.142), GrLivArea (0.118), TotalSF (0.098), Cluster (0.071). La inclusión del cluster K-Means como feature no solo mejoró el R² supervisado en +0.031, sino que le proporcionó al DQN información pre-procesada sobre el segmento de mercado del predio, reduciendo la carga de aprendizaje del agente y acelerando la convergencia en ~25 épocas respecto a configuraciones sin esta variable.</w:t>
      </w:r>
    </w:p>
    <w:p>
      <w:pPr>
        <w:spacing w:before="240" w:after="120"/>
        <w:jc w:val="left"/>
        <w:pBdr>
          <w:bottom w:val="single" w:sz="6" w:space="2" w:color="000000"/>
        </w:pBdr>
      </w:pPr>
      <w:r>
        <w:rPr>
          <w:rFonts w:ascii="Times New Roman" w:hAnsi="Times New Roman" w:eastAsia="Times New Roman"/>
          <w:b/>
          <w:i w:val="0"/>
          <w:sz w:val="22"/>
          <w:u w:val="none"/>
        </w:rPr>
        <w:t>V. ANÁLISIS COMPARATIVO — EVOLUCIÓN DEL SEMESTRE</w:t>
      </w:r>
    </w:p>
    <w:p>
      <w:pPr>
        <w:spacing w:before="0" w:after="120" w:line="276" w:lineRule="auto"/>
        <w:jc w:val="both"/>
      </w:pPr>
      <w:r>
        <w:rPr>
          <w:rFonts w:ascii="Times New Roman" w:hAnsi="Times New Roman" w:eastAsia="Times New Roman"/>
          <w:b w:val="0"/>
          <w:i w:val="0"/>
          <w:sz w:val="22"/>
          <w:u w:val="none"/>
        </w:rPr>
        <w:t>El presente trabajo representa la culminación de tres cortes de aprendizaje progresivo sobre el mismo dataset. La Tabla VI sintetiza la evolución técnica a lo largo del semestre.</w:t>
      </w:r>
    </w:p>
    <w:p>
      <w:pPr>
        <w:spacing w:before="140" w:after="80"/>
        <w:jc w:val="center"/>
      </w:pPr>
      <w:r>
        <w:rPr>
          <w:rFonts w:ascii="Times New Roman" w:hAnsi="Times New Roman" w:eastAsia="Times New Roman"/>
          <w:b/>
          <w:i w:val="0"/>
          <w:sz w:val="20"/>
          <w:u w:val="none"/>
        </w:rPr>
        <w:t>TABLA VI. Evolución técnica por corte del semestre</w:t>
      </w:r>
    </w:p>
    <w:tbl>
      <w:tblPr>
        <w:tblW w:type="dxa" w:w="9360"/>
        <w:jc w:val="center"/>
        <w:tblLayout w:type="fixed"/>
        <w:tblLook w:firstColumn="1" w:firstRow="1" w:lastColumn="0" w:lastRow="0" w:noHBand="0" w:noVBand="1" w:val="04A0"/>
      </w:tblPr>
      <w:tblGrid>
        <w:gridCol w:w="2520"/>
        <w:gridCol w:w="2520"/>
        <w:gridCol w:w="2520"/>
        <w:gridCol w:w="2520"/>
      </w:tblGrid>
      <w:tr>
        <w:trPr>
          <w:tblHeader w:val="true"/>
        </w:trPr>
        <w:tc>
          <w:tcPr>
            <w:tcW w:type="dxa" w:w="86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Corte</w:t>
            </w:r>
          </w:p>
        </w:tc>
        <w:tc>
          <w:tcPr>
            <w:tcW w:type="dxa" w:w="2664"/>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Técnica principal</w:t>
            </w:r>
          </w:p>
        </w:tc>
        <w:tc>
          <w:tcPr>
            <w:tcW w:type="dxa" w:w="2880"/>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Resultado clave</w:t>
            </w:r>
          </w:p>
        </w:tc>
        <w:tc>
          <w:tcPr>
            <w:tcW w:type="dxa" w:w="2952"/>
            <w:vAlign w:val="center"/>
            <w:tcBorders>
              <w:top w:val="single" w:sz="4" w:space="0" w:color="000000"/>
              <w:left w:val="single" w:sz="4" w:space="0" w:color="000000"/>
              <w:bottom w:val="single" w:sz="4" w:space="0" w:color="000000"/>
              <w:right w:val="single" w:sz="4" w:space="0" w:color="000000"/>
            </w:tcBorders>
            <w:shd w:fill="D5E8F0"/>
          </w:tcPr>
          <w:p>
            <w:pPr>
              <w:spacing w:after="0"/>
              <w:jc w:val="center"/>
            </w:pPr>
            <w:r>
              <w:rPr>
                <w:rFonts w:ascii="Times New Roman" w:hAnsi="Times New Roman" w:eastAsia="Times New Roman"/>
                <w:b/>
                <w:i w:val="0"/>
                <w:sz w:val="18"/>
                <w:u w:val="none"/>
              </w:rPr>
              <w:t>Conexión con corte siguiente</w:t>
            </w:r>
          </w:p>
        </w:tc>
      </w:tr>
      <w:tr>
        <w:tc>
          <w:tcPr>
            <w:tcW w:type="dxa" w:w="86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C1</w:t>
            </w:r>
          </w:p>
        </w:tc>
        <w:tc>
          <w:tcPr>
            <w:tcW w:type="dxa" w:w="266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K-Means · Jerárquico · DBSCAN</w:t>
            </w:r>
          </w:p>
        </w:tc>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Segmentación en 6 clusters del mercado inmobiliario de Ames</w:t>
            </w:r>
          </w:p>
        </w:tc>
        <w:tc>
          <w:tcPr>
            <w:tcW w:type="dxa" w:w="295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K-Means define estados del MDP en C3</w:t>
            </w:r>
          </w:p>
        </w:tc>
      </w:tr>
      <w:tr>
        <w:tc>
          <w:tcPr>
            <w:tcW w:type="dxa" w:w="86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C2</w:t>
            </w:r>
          </w:p>
        </w:tc>
        <w:tc>
          <w:tcPr>
            <w:tcW w:type="dxa" w:w="266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LightGBM · Regularización · CV</w:t>
            </w:r>
          </w:p>
        </w:tc>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R²=0.75, MAE=$23,600 · Benchmark supervisado</w:t>
            </w:r>
          </w:p>
        </w:tc>
        <w:tc>
          <w:tcPr>
            <w:tcW w:type="dxa" w:w="295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Reemplazado por XGBoost+engineering en C3</w:t>
            </w:r>
          </w:p>
        </w:tc>
      </w:tr>
      <w:tr>
        <w:tc>
          <w:tcPr>
            <w:tcW w:type="dxa" w:w="864"/>
            <w:vAlign w:val="center"/>
            <w:tcBorders>
              <w:top w:val="single" w:sz="4" w:space="0" w:color="000000"/>
              <w:left w:val="single" w:sz="4" w:space="0" w:color="000000"/>
              <w:bottom w:val="single" w:sz="4" w:space="0" w:color="000000"/>
              <w:right w:val="single" w:sz="4" w:space="0" w:color="000000"/>
            </w:tcBorders>
            <w:shd w:fill="FFFFFF"/>
          </w:tcPr>
          <w:p>
            <w:pPr>
              <w:spacing w:after="0"/>
              <w:jc w:val="left"/>
            </w:pPr>
            <w:r>
              <w:rPr>
                <w:rFonts w:ascii="Times New Roman" w:hAnsi="Times New Roman" w:eastAsia="Times New Roman"/>
                <w:b w:val="0"/>
                <w:i w:val="0"/>
                <w:sz w:val="17"/>
                <w:u w:val="none"/>
              </w:rPr>
              <w:t>C3</w:t>
            </w:r>
          </w:p>
        </w:tc>
        <w:tc>
          <w:tcPr>
            <w:tcW w:type="dxa" w:w="2664"/>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MDP·VI · Q-Learning · DQN</w:t>
            </w:r>
          </w:p>
        </w:tc>
        <w:tc>
          <w:tcPr>
            <w:tcW w:type="dxa" w:w="2880"/>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Política óptima: 34.4% auto · 62.1% revisión</w:t>
            </w:r>
          </w:p>
        </w:tc>
        <w:tc>
          <w:tcPr>
            <w:tcW w:type="dxa" w:w="2952"/>
            <w:vAlign w:val="center"/>
            <w:tcBorders>
              <w:top w:val="single" w:sz="4" w:space="0" w:color="000000"/>
              <w:left w:val="single" w:sz="4" w:space="0" w:color="000000"/>
              <w:bottom w:val="single" w:sz="4" w:space="0" w:color="000000"/>
              <w:right w:val="single" w:sz="4" w:space="0" w:color="000000"/>
            </w:tcBorders>
            <w:shd w:fill="FFFFFF"/>
          </w:tcPr>
          <w:p>
            <w:pPr>
              <w:spacing w:after="0"/>
              <w:jc w:val="center"/>
            </w:pPr>
            <w:r>
              <w:rPr>
                <w:rFonts w:ascii="Times New Roman" w:hAnsi="Times New Roman" w:eastAsia="Times New Roman"/>
                <w:b w:val="0"/>
                <w:i w:val="0"/>
                <w:sz w:val="17"/>
                <w:u w:val="none"/>
              </w:rPr>
              <w:t>Pipeline completo integrado</w:t>
            </w:r>
          </w:p>
        </w:tc>
      </w:tr>
    </w:tbl>
    <w:p>
      <w:pPr>
        <w:spacing w:before="0" w:after="120" w:line="276" w:lineRule="auto"/>
        <w:jc w:val="both"/>
      </w:pPr>
      <w:r>
        <w:rPr>
          <w:rFonts w:ascii="Times New Roman" w:hAnsi="Times New Roman" w:eastAsia="Times New Roman"/>
          <w:b w:val="0"/>
          <w:i w:val="0"/>
          <w:sz w:val="22"/>
          <w:u w:val="none"/>
        </w:rPr>
        <w:t>El hallazgo transversal más relevante del semestre es que la integración de paradigmas produce resultados que ningún paradigma aislado puede lograr. Específicamente: el clustering mejoró el modelo supervisado (+3.1% R²); el modelo supervisado hizo posible una función de recompensa económicamente interpretable; y el agente RL aportó una capa de gestión del riesgo que un sistema de predicción puro no puede proporcionar.</w:t>
      </w:r>
    </w:p>
    <w:p>
      <w:pPr>
        <w:spacing w:before="240" w:after="120"/>
        <w:jc w:val="left"/>
        <w:pBdr>
          <w:bottom w:val="single" w:sz="6" w:space="2" w:color="000000"/>
        </w:pBdr>
      </w:pPr>
      <w:r>
        <w:rPr>
          <w:rFonts w:ascii="Times New Roman" w:hAnsi="Times New Roman" w:eastAsia="Times New Roman"/>
          <w:b/>
          <w:i w:val="0"/>
          <w:sz w:val="22"/>
          <w:u w:val="none"/>
        </w:rPr>
        <w:t>VI. CONCLUSIONES</w:t>
      </w:r>
    </w:p>
    <w:p>
      <w:pPr>
        <w:spacing w:before="0" w:after="120" w:line="276" w:lineRule="auto"/>
        <w:jc w:val="both"/>
      </w:pPr>
      <w:r>
        <w:rPr>
          <w:rFonts w:ascii="Times New Roman" w:hAnsi="Times New Roman" w:eastAsia="Times New Roman"/>
          <w:b w:val="0"/>
          <w:i w:val="0"/>
          <w:sz w:val="22"/>
          <w:u w:val="none"/>
        </w:rPr>
        <w:t>Este artículo presentó SAVI v2.0, un pipeline de Machine Learning que resuelve el problema de decisión en valuación inmobiliaria automatizada integrando tres paradigmas de aprendizaje. Las conclusiones principales son:</w:t>
      </w:r>
    </w:p>
    <w:p>
      <w:pPr>
        <w:spacing w:before="0" w:after="80" w:line="276" w:lineRule="auto"/>
        <w:ind w:left="360"/>
        <w:jc w:val="both"/>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La integración no supervisado → supervisado → refuerzo no es solo una suma de técnicas, sino una cadena causal donde cada bloque amplifica al siguiente. El R² del XGBoost se benefició del clustering (ΔR²=+0.031); la función de recompensa del agente es interpretable gracias al error del modelo supervisado.</w:t>
      </w:r>
    </w:p>
    <w:p>
      <w:pPr>
        <w:spacing w:before="0" w:after="80" w:line="276" w:lineRule="auto"/>
        <w:ind w:left="360"/>
        <w:jc w:val="both"/>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Value Iteration y Q-Learning convergen a la misma política (100% concordancia), validando la correctitud de la formulación MDP y la función de recompensa. Esta dualidad ofrece una verificación cruzada valiosa: si los métodos difieren, indica un error en la formulación del entorno, no en los algoritmos.</w:t>
      </w:r>
    </w:p>
    <w:p>
      <w:pPr>
        <w:spacing w:before="0" w:after="80" w:line="276" w:lineRule="auto"/>
        <w:ind w:left="360"/>
        <w:jc w:val="both"/>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DQN en espacio continuo mejora el reward en ~1.9% respecto a VI al capturar heterogeneidad intra-cluster ignorada por los métodos tabulares. Este resultado motiva el uso de DQN cuando el espacio de estado contiene variabilidad relevante que el clustering no captura completamente.</w:t>
      </w:r>
    </w:p>
    <w:p>
      <w:pPr>
        <w:spacing w:before="0" w:after="80" w:line="276" w:lineRule="auto"/>
        <w:ind w:left="360"/>
        <w:jc w:val="both"/>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La Regla 3 (S3 → RECHAZAR) es el resultado más valioso del sistema: el agente aprendió a reconocer los límites de su propio modelo y a actuar conservadoramente. Esta propiedad emergente es difícil de programar explícitamente pero surge naturalmente de la optimización de Bellman.</w:t>
      </w:r>
    </w:p>
    <w:p>
      <w:pPr>
        <w:spacing w:before="0" w:after="80" w:line="276" w:lineRule="auto"/>
        <w:ind w:left="360"/>
        <w:jc w:val="both"/>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El sistema SAVI v2.0 es deployable en su forma actual: 34.4% automatización directa, 62.1% revisión selectiva, 3.5% solicitud de datos. En un portafolio de 10,000 valuaciones mensuales esto representa un ahorro aproximado de $486,000 USD respecto a la revisión manual universal (a $150/revisión).</w:t>
      </w:r>
    </w:p>
    <w:p>
      <w:pPr>
        <w:spacing w:before="180" w:after="80"/>
        <w:jc w:val="left"/>
      </w:pPr>
      <w:r>
        <w:rPr>
          <w:rFonts w:ascii="Times New Roman" w:hAnsi="Times New Roman" w:eastAsia="Times New Roman"/>
          <w:b/>
          <w:i/>
          <w:sz w:val="22"/>
          <w:u w:val="none"/>
        </w:rPr>
        <w:t>Trabajo futuro</w:t>
      </w:r>
    </w:p>
    <w:p>
      <w:pPr>
        <w:spacing w:before="0" w:after="120" w:line="276" w:lineRule="auto"/>
        <w:jc w:val="both"/>
      </w:pPr>
      <w:r>
        <w:rPr>
          <w:rFonts w:ascii="Times New Roman" w:hAnsi="Times New Roman" w:eastAsia="Times New Roman"/>
          <w:b w:val="0"/>
          <w:i w:val="0"/>
          <w:sz w:val="22"/>
          <w:u w:val="none"/>
        </w:rPr>
        <w:t>Las líneas de investigación identificadas incluyen: (1) Double DQN y Dueling DQN para reducir la sobreestimación de Q-values; (2) Proximal Policy Optimization (PPO) como alternativa actor-critic; (3) incorporación de datos macroeconómicos (tasas de interés, índices de construcción) como variables de contexto del estado; y (4) extensión del framework a otros mercados inmobiliarios latinoamericanos como Bogotá o Medellín, validando la transferibilidad de la arquitectura.</w:t>
      </w:r>
    </w:p>
    <w:p>
      <w:pPr>
        <w:spacing w:before="240" w:after="120"/>
        <w:jc w:val="left"/>
        <w:pBdr>
          <w:bottom w:val="single" w:sz="6" w:space="2" w:color="000000"/>
        </w:pBdr>
      </w:pPr>
      <w:r>
        <w:rPr>
          <w:rFonts w:ascii="Times New Roman" w:hAnsi="Times New Roman" w:eastAsia="Times New Roman"/>
          <w:b/>
          <w:i w:val="0"/>
          <w:sz w:val="22"/>
          <w:u w:val="none"/>
        </w:rPr>
        <w:t>REFERENCIAS</w:t>
      </w:r>
    </w:p>
    <w:p>
      <w:pPr>
        <w:spacing w:before="40" w:after="40" w:line="252" w:lineRule="auto"/>
        <w:ind w:left="360" w:hanging="360"/>
        <w:jc w:val="both"/>
      </w:pPr>
      <w:r>
        <w:rPr>
          <w:rFonts w:ascii="Times New Roman" w:hAnsi="Times New Roman" w:eastAsia="Times New Roman"/>
          <w:b w:val="0"/>
          <w:i w:val="0"/>
          <w:sz w:val="18"/>
          <w:u w:val="none"/>
        </w:rPr>
        <w:t>[1] J. Antipov and E. Pokryshevskaya, "Mass appraisal of residential apartments: an application of Random forest for valuation and a CART-based approach for model diagnostics," Expert Systems with Applications, vol. 39, no. 12, pp. 10778–10785, 2012.</w:t>
      </w:r>
    </w:p>
    <w:p>
      <w:pPr>
        <w:spacing w:before="40" w:after="40" w:line="252" w:lineRule="auto"/>
        <w:ind w:left="360" w:hanging="360"/>
        <w:jc w:val="both"/>
      </w:pPr>
      <w:r>
        <w:rPr>
          <w:rFonts w:ascii="Times New Roman" w:hAnsi="Times New Roman" w:eastAsia="Times New Roman"/>
          <w:b w:val="0"/>
          <w:i w:val="0"/>
          <w:sz w:val="18"/>
          <w:u w:val="none"/>
        </w:rPr>
        <w:t>[2] D. De Cock, "Ames, Iowa: Alternative to the Boston Housing Data as an End of Semester Regression Project," Journal of Statistics Education, vol. 19, no. 3, 2011.</w:t>
      </w:r>
    </w:p>
    <w:p>
      <w:pPr>
        <w:spacing w:before="40" w:after="40" w:line="252" w:lineRule="auto"/>
        <w:ind w:left="360" w:hanging="360"/>
        <w:jc w:val="both"/>
      </w:pPr>
      <w:r>
        <w:rPr>
          <w:rFonts w:ascii="Times New Roman" w:hAnsi="Times New Roman" w:eastAsia="Times New Roman"/>
          <w:b w:val="0"/>
          <w:i w:val="0"/>
          <w:sz w:val="18"/>
          <w:u w:val="none"/>
        </w:rPr>
        <w:t>[3] P. J. Rousseeuw, "Silhouettes: A graphical aid to the interpretation and validation of cluster analysis," Journal of Computational and Applied Mathematics, vol. 20, pp. 53–65, 1987.</w:t>
      </w:r>
    </w:p>
    <w:p>
      <w:pPr>
        <w:spacing w:before="40" w:after="40" w:line="252" w:lineRule="auto"/>
        <w:ind w:left="360" w:hanging="360"/>
        <w:jc w:val="both"/>
      </w:pPr>
      <w:r>
        <w:rPr>
          <w:rFonts w:ascii="Times New Roman" w:hAnsi="Times New Roman" w:eastAsia="Times New Roman"/>
          <w:b w:val="0"/>
          <w:i w:val="0"/>
          <w:sz w:val="18"/>
          <w:u w:val="none"/>
        </w:rPr>
        <w:t>[4] T. Chen and C. Guestrin, "XGBoost: A scalable tree boosting system," in Proc. KDD '16, pp. 785–794, 2016.</w:t>
      </w:r>
    </w:p>
    <w:p>
      <w:pPr>
        <w:spacing w:before="40" w:after="40" w:line="252" w:lineRule="auto"/>
        <w:ind w:left="360" w:hanging="360"/>
        <w:jc w:val="both"/>
      </w:pPr>
      <w:r>
        <w:rPr>
          <w:rFonts w:ascii="Times New Roman" w:hAnsi="Times New Roman" w:eastAsia="Times New Roman"/>
          <w:b w:val="0"/>
          <w:i w:val="0"/>
          <w:sz w:val="18"/>
          <w:u w:val="none"/>
        </w:rPr>
        <w:t>[5] G. Ke et al., "LightGBM: A highly efficient gradient boosting decision tree," in Advances in Neural Information Processing Systems, vol. 30, 2017.</w:t>
      </w:r>
    </w:p>
    <w:p>
      <w:pPr>
        <w:spacing w:before="40" w:after="40" w:line="252" w:lineRule="auto"/>
        <w:ind w:left="360" w:hanging="360"/>
        <w:jc w:val="both"/>
      </w:pPr>
      <w:r>
        <w:rPr>
          <w:rFonts w:ascii="Times New Roman" w:hAnsi="Times New Roman" w:eastAsia="Times New Roman"/>
          <w:b w:val="0"/>
          <w:i w:val="0"/>
          <w:sz w:val="18"/>
          <w:u w:val="none"/>
        </w:rPr>
        <w:t>[6] R. S. Sutton and A. G. Barto, Reinforcement Learning: An Introduction, 2nd ed. MIT Press, Cambridge, MA, 2018.</w:t>
      </w:r>
    </w:p>
    <w:p>
      <w:pPr>
        <w:spacing w:before="40" w:after="40" w:line="252" w:lineRule="auto"/>
        <w:ind w:left="360" w:hanging="360"/>
        <w:jc w:val="both"/>
      </w:pPr>
      <w:r>
        <w:rPr>
          <w:rFonts w:ascii="Times New Roman" w:hAnsi="Times New Roman" w:eastAsia="Times New Roman"/>
          <w:b w:val="0"/>
          <w:i w:val="0"/>
          <w:sz w:val="18"/>
          <w:u w:val="none"/>
        </w:rPr>
        <w:t>[7] C. J. C. H. Watkins and P. Dayan, "Q-learning," Machine Learning, vol. 8, no. 3–4, pp. 279–292, 1992.</w:t>
      </w:r>
    </w:p>
    <w:p>
      <w:pPr>
        <w:spacing w:before="40" w:after="40" w:line="252" w:lineRule="auto"/>
        <w:ind w:left="360" w:hanging="360"/>
        <w:jc w:val="both"/>
      </w:pPr>
      <w:r>
        <w:rPr>
          <w:rFonts w:ascii="Times New Roman" w:hAnsi="Times New Roman" w:eastAsia="Times New Roman"/>
          <w:b w:val="0"/>
          <w:i w:val="0"/>
          <w:sz w:val="18"/>
          <w:u w:val="none"/>
        </w:rPr>
        <w:t>[8] V. Mnih et al., "Human-level control through deep reinforcement learning," Nature, vol. 518, pp. 529–533, 2015.</w:t>
      </w:r>
    </w:p>
    <w:p>
      <w:pPr>
        <w:spacing w:before="40" w:after="40" w:line="252" w:lineRule="auto"/>
        <w:ind w:left="360" w:hanging="360"/>
        <w:jc w:val="both"/>
      </w:pPr>
      <w:r>
        <w:rPr>
          <w:rFonts w:ascii="Times New Roman" w:hAnsi="Times New Roman" w:eastAsia="Times New Roman"/>
          <w:b w:val="0"/>
          <w:i w:val="0"/>
          <w:sz w:val="18"/>
          <w:u w:val="none"/>
        </w:rPr>
        <w:t>[9] H. van Hasselt, A. Guez, and D. Silver, "Deep reinforcement learning with double Q-learning," in Proc. AAAI-16, pp. 2094–2100, 2016.</w:t>
      </w:r>
    </w:p>
    <w:p>
      <w:pPr>
        <w:spacing w:before="40" w:after="40" w:line="252" w:lineRule="auto"/>
        <w:ind w:left="360" w:hanging="360"/>
        <w:jc w:val="both"/>
      </w:pPr>
      <w:r>
        <w:rPr>
          <w:rFonts w:ascii="Times New Roman" w:hAnsi="Times New Roman" w:eastAsia="Times New Roman"/>
          <w:b w:val="0"/>
          <w:i w:val="0"/>
          <w:sz w:val="18"/>
          <w:u w:val="none"/>
        </w:rPr>
        <w:t>[10] O. A. Arias M., "Notas de clase — Aprendizaje por Refuerzo: De Q-Learning a Deep Q-Networks," Universidad Sergio Arboleda, Bogotá, 2026.</w:t>
      </w:r>
    </w:p>
    <w:p>
      <w:pPr>
        <w:spacing w:before="160" w:after="80"/>
        <w:jc w:val="center"/>
      </w:pPr>
      <w:r>
        <w:rPr>
          <w:rFonts w:ascii="Courier New" w:hAnsi="Courier New" w:eastAsia="Courier New"/>
          <w:b w:val="0"/>
          <w:i w:val="0"/>
          <w:color w:val="AAAAAA"/>
          <w:sz w:val="12"/>
          <w:u w:val="none"/>
        </w:rPr>
        <w:t>──────────────────────────────────────────────────────────────────────────────────────────</w:t>
      </w:r>
    </w:p>
    <w:p>
      <w:pPr>
        <w:jc w:val="center"/>
      </w:pPr>
      <w:r>
        <w:rPr>
          <w:rFonts w:ascii="Times New Roman" w:hAnsi="Times New Roman" w:eastAsia="Times New Roman"/>
          <w:b w:val="0"/>
          <w:i/>
          <w:sz w:val="18"/>
          <w:u w:val="none"/>
        </w:rPr>
        <w:t>Código fuente disponible: SAVI_v2_ParcialFinal.py  ·  Presentación: SAVI_v2_ParcialFinal.html  ·  Dataset: ames_combined_2006_2024.csv</w:t>
      </w:r>
    </w:p>
    <w:p>
      <w:pPr>
        <w:jc w:val="center"/>
      </w:pPr>
      <w:r>
        <w:rPr>
          <w:rFonts w:ascii="Times New Roman" w:hAnsi="Times New Roman" w:eastAsia="Times New Roman"/>
          <w:b w:val="0"/>
          <w:i/>
          <w:sz w:val="18"/>
          <w:u w:val="none"/>
        </w:rPr>
        <w:t>Julian E. Rincón R. · Valeria Larea · Nicolás Garzón · Juan Niño  ·  Machine Learning Corte 3  ·  Universidad Sergio Arboleda  ·  2026</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2" w:color="000000"/>
      </w:pBdr>
    </w:pPr>
    <w:r>
      <w:rPr>
        <w:rFonts w:ascii="Times New Roman" w:hAnsi="Times New Roman" w:eastAsia="Times New Roman"/>
        <w:b w:val="0"/>
        <w:i w:val="0"/>
        <w:sz w:val="18"/>
        <w:u w:val="none"/>
      </w:rPr>
      <w:t xml:space="preserve">IEEE Format — Machine Learning C3 2026  |  Universidad Sergio Arboleda  |  </w:t>
    </w:r>
    <w:r>
      <w:rPr>
        <w:rFonts w:ascii="Times New Roman" w:hAnsi="Times New Roman"/>
        <w:sz w:val="18"/>
      </w:rPr>
      <w:t xml:space="preserve">Pág. </w:t>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