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01820" w:color="auto" w:val="clear"/>
            <w:tcMar>
              <w:top w:type="dxa" w:w="220"/>
              <w:left w:type="dxa" w:w="140"/>
              <w:bottom w:type="dxa" w:w="220"/>
              <w:right w:type="dxa" w:w="140"/>
            </w:tcMar>
          </w:tcPr>
          <w:p>
            <w:pPr>
              <w:spacing w:after="10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C8C"/>
                <w:sz w:val="16"/>
                <w:szCs w:val="16"/>
              </w:rPr>
              <w:t xml:space="preserve">GROWXTH · YC STARTUP SCHOOL HACKATHON · 24 JUL 2026</w:t>
            </w:r>
          </w:p>
          <w:p>
            <w:pPr>
              <w:spacing w:after="6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Plan del día</w:t>
            </w:r>
          </w:p>
          <w:p>
            <w:pPr>
              <w:spacing w:after="14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6"/>
                <w:szCs w:val="26"/>
              </w:rPr>
              <w:t xml:space="preserve">Búsqueda real · Launch Room · calibración humana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D2D6"/>
                <w:sz w:val="19"/>
                <w:szCs w:val="19"/>
              </w:rPr>
              <w:t xml:space="preserve">Un solo loop — el del pitch: decidir con evidencia, actuar con una campaña, medir con humanos reales. El núcleo va primero; los tracks son el último tramo del mismo demo, no un producto aparte.</w:t>
            </w:r>
          </w:p>
        </w:tc>
      </w:tr>
    </w:tbl>
    <w:p>
      <w:pPr>
        <w:spacing w:after="2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8F7F6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2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C8C"/>
                <w:sz w:val="34"/>
                <w:szCs w:val="34"/>
              </w:rPr>
              <w:t xml:space="preserve">17:15</w:t>
            </w:r>
          </w:p>
          <w:p>
            <w:pPr>
              <w:spacing w:after="2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15"/>
                <w:szCs w:val="15"/>
              </w:rPr>
              <w:t xml:space="preserve">HARD STOP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727A"/>
                <w:sz w:val="16"/>
                <w:szCs w:val="16"/>
              </w:rPr>
              <w:t xml:space="preserve">Video 16:05 · Submit 16:40.</w:t>
            </w:r>
          </w:p>
        </w:tc>
        <w:tc>
          <w:tcPr>
            <w:tcW w:type="dxa" w:w="3360"/>
            <w:shd w:fill="E8F7F6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2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C8C"/>
                <w:sz w:val="34"/>
                <w:szCs w:val="34"/>
              </w:rPr>
              <w:t xml:space="preserve">3</w:t>
            </w:r>
          </w:p>
          <w:p>
            <w:pPr>
              <w:spacing w:after="2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15"/>
                <w:szCs w:val="15"/>
              </w:rPr>
              <w:t xml:space="preserve">TRACKS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727A"/>
                <w:sz w:val="16"/>
                <w:szCs w:val="16"/>
              </w:rPr>
              <w:t xml:space="preserve">Most Creative + Linq + Terac.</w:t>
            </w:r>
          </w:p>
        </w:tc>
        <w:tc>
          <w:tcPr>
            <w:tcW w:type="dxa" w:w="3360"/>
            <w:shd w:fill="E8F7F6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2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C8C"/>
                <w:sz w:val="34"/>
                <w:szCs w:val="34"/>
              </w:rPr>
              <w:t xml:space="preserve">3 s</w:t>
            </w:r>
          </w:p>
          <w:p>
            <w:pPr>
              <w:spacing w:after="2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15"/>
                <w:szCs w:val="15"/>
              </w:rPr>
              <w:t xml:space="preserve">EL BEAT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727A"/>
                <w:sz w:val="16"/>
                <w:szCs w:val="16"/>
              </w:rPr>
              <w:t xml:space="preserve">Tapback → el mapa se mueve.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00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La decisión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Growth Atlas es el producto y el pitch sigue siendo la tesis. Hoy se construyen tres piezas del mismo loop, en este orden de prioridad: </w:t>
      </w:r>
      <w:r>
        <w:rPr>
          <w:rFonts w:ascii="Arial" w:cs="Arial" w:eastAsia="Arial" w:hAnsi="Arial"/>
          <w:b/>
          <w:bCs/>
          <w:i w:val="false"/>
          <w:iCs w:val="false"/>
          <w:color w:val="101820"/>
          <w:sz w:val="20"/>
          <w:szCs w:val="20"/>
        </w:rPr>
        <w:t xml:space="preserve">(1) la búsqueda real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 — el P0 que el plan de backend ya definió, y que arregla </w:t>
      </w:r>
      <w:r>
        <w:rPr>
          <w:rFonts w:ascii="Arial" w:cs="Arial" w:eastAsia="Arial" w:hAnsi="Arial"/>
          <w:b w:val="false"/>
          <w:bCs w:val="false"/>
          <w:i/>
          <w:iCs/>
          <w:color w:val="63727A"/>
          <w:sz w:val="20"/>
          <w:szCs w:val="20"/>
        </w:rPr>
        <w:t xml:space="preserve">“hay una UI fuerte; falta conectar la inteligencia”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 —, </w:t>
      </w:r>
      <w:r>
        <w:rPr>
          <w:rFonts w:ascii="Arial" w:cs="Arial" w:eastAsia="Arial" w:hAnsi="Arial"/>
          <w:b/>
          <w:bCs/>
          <w:i w:val="false"/>
          <w:iCs w:val="false"/>
          <w:color w:val="101820"/>
          <w:sz w:val="20"/>
          <w:szCs w:val="20"/>
        </w:rPr>
        <w:t xml:space="preserve">(2) Launch Room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i w:val="false"/>
          <w:iCs w:val="false"/>
          <w:color w:val="101820"/>
          <w:sz w:val="20"/>
          <w:szCs w:val="20"/>
        </w:rPr>
        <w:t xml:space="preserve">(3) la arena Terac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. Los tracks no son un desvío de la idea principal: son el paso 7 del pitch — «la empresa mide el resultado» — que sin datos de cliente era imposible demostrar hoy de forma honesta.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Hasta hoy, cada número del producto es dato preparado. La búsqueda hace entrar evidencia pública real — URLs y fechas vía Exa —; Launch Room hace entrar la primera señal humana observada: una persona con rol y timestamp respondiendo desde su teléfono. Decidir → actuar → medir. Un demo, un loop, tres sponsors.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8F7F6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C8C"/>
                <w:sz w:val="17"/>
                <w:szCs w:val="17"/>
              </w:rPr>
              <w:t xml:space="preserve">La frase que define el proyecto</w:t>
            </w:r>
          </w:p>
          <w:p>
            <w:pPr>
              <w:spacing w:after="6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24"/>
                <w:szCs w:val="24"/>
              </w:rPr>
              <w:t xml:space="preserve">Prepared signal → Observed via Linq.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La búsqueda real trae la evidencia pública; Launch Room la corona con evidencia humana. Todo el día apunta a que esa transición sea visible, honesta y verificable.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01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El núcleo primero: búsqueda real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Es el P0 literal del plan de backend — ruta real, conector Exa, fallback y labels honestos. No hay nada nuevo que decidir: sólo ejecutarlo recortado a una hora de trabajo. La pieza clave ya existe y está muerta: </w:t>
      </w:r>
      <w:r>
        <w:rPr>
          <w:rFonts w:ascii="Courier" w:cs="Courier" w:eastAsia="Courier" w:hAnsi="Courier"/>
          <w:b/>
          <w:bCs/>
          <w:i w:val="false"/>
          <w:iCs w:val="false"/>
          <w:color w:val="293740"/>
          <w:sz w:val="17"/>
          <w:szCs w:val="17"/>
        </w:rPr>
        <w:t xml:space="preserve">scoreCities()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 en atlas-data.ts:221 es un motor de score ponderado completo que nadie llama — los scores visibles hoy son literales de fixture. Se revive, no se escribe.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POST /api/opportunities/search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1. interpretar   parser actual (objetivo + presupuesto) — sin LLM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2. evidencia     3-4 queries Exa en paralelo (demanda, eventos,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                 comunidades, competencia) → highlights con URL y fecha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3. señales       seeds de 6 ciudades + eventos Luma ya ingeridos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4. score         scoreCities() revivido — ponderado y explicable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5. responder     SearchResponse con evidenceIds, coverage y warnings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timeout 8 s · cache hash(topic+objetivo) TTL 6 h</w:t>
      </w:r>
    </w:p>
    <w:p>
      <w:pPr>
        <w:spacing w:after="100" w:before="8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En el frontend el destrabe es quirúrgico: </w:t>
      </w: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selectedCityId: string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 en lugar del gate de DemoCityId (atlas-shell.tsx:46 y :302) — hoy cualquier ciudad fuera de las tres fixtures es silenciosamente inclickeable. Y los chips de interpretación salen de la respuesta real o se quitan: mostrar «Agent observability» escribas lo que escribas es exactamente el hardcode que los jueces van a buscar.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5F8F8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C8C"/>
                <w:sz w:val="17"/>
                <w:szCs w:val="17"/>
              </w:rPr>
              <w:t xml:space="preserve">Qué del plan de backend NO se hace hoy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7"/>
                <w:szCs w:val="17"/>
              </w:rPr>
              <w:t xml:space="preserve">Apify batch · GitHub agregado · X counts · Supabase para el core (hoy sólo guarda votos Terac) · comparación lado a lado · export del report. No es un recorte nuevo: es la línea P0/P1 que ese documento ya trazó. El scraping de hoy es Exa en vivo + el importador de Luma que ya funciona — una ruta de ingesta real demostrable, que es lo que el pitch exige.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02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Qué es exactamente una Launch Room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Una Launch Room es un cuarto de decisión que vive dentro de un hilo de iMessage. Se abre sobre una única oportunidad (un mercado recomendado para una empresa concreta) y se cierra cuando las personas con autoridad para aprobarla se pronuncian.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El objeto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LaunchRoom {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id                  opportunityId       status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participants[]      { id, handle, role, joinedAt }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votes[]             { participantId, kind, at, evidenceId }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confidence          { base, current, deltas[] }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evidence[]          // se inyecta al ledger del Opportunity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quorum              brief?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}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Ciclo de vida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200"/>
        <w:gridCol w:w="3980"/>
      </w:tblGrid>
      <w:tr>
        <w:trPr>
          <w:tblHeader/>
        </w:trPr>
        <w:tc>
          <w:tcPr>
            <w:tcW w:type="dxa" w:w="19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42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SIGNIFICA</w:t>
            </w:r>
          </w:p>
        </w:tc>
        <w:tc>
          <w:tcPr>
            <w:tcW w:type="dxa" w:w="398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LO HACE AVANZAR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open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Sala creada sobre una oportunidad. Nadie se pronunció.</w:t>
            </w:r>
          </w:p>
        </w:tc>
        <w:tc>
          <w:tcPr>
            <w:tcW w:type="dxa" w:w="39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Primer participante entra (inbound-first).</w:t>
            </w:r>
          </w:p>
        </w:tc>
      </w:tr>
      <w:tr>
        <w:tc>
          <w:tcPr>
            <w:tcW w:type="dxa" w:w="19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converging</w:t>
            </w:r>
          </w:p>
        </w:tc>
        <w:tc>
          <w:tcPr>
            <w:tcW w:type="dxa" w:w="4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Llegan votos. La confianza se mueve en vivo.</w:t>
            </w:r>
          </w:p>
        </w:tc>
        <w:tc>
          <w:tcPr>
            <w:tcW w:type="dxa" w:w="39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Cada tapback o respuesta escribe evidencia.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decided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 alcanzó el quórum. Aprobada o rechazada.</w:t>
            </w:r>
          </w:p>
        </w:tc>
        <w:tc>
          <w:tcPr>
            <w:tcW w:type="dxa" w:w="39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Quórum de votos con peso por rol.</w:t>
            </w:r>
          </w:p>
        </w:tc>
      </w:tr>
      <w:tr>
        <w:tc>
          <w:tcPr>
            <w:tcW w:type="dxa" w:w="19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briefed</w:t>
            </w:r>
          </w:p>
        </w:tc>
        <w:tc>
          <w:tcPr>
            <w:tcW w:type="dxa" w:w="4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El agente publicó el campaign brief en el hilo.</w:t>
            </w:r>
          </w:p>
        </w:tc>
        <w:tc>
          <w:tcPr>
            <w:tcW w:type="dxa" w:w="39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Decisión = approved.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Los roles pesan distinto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Un 👍 de un compañero de equipo no vale lo mismo que un organizador confirmando que todavía hay slots de sponsorship. Esa diferencia es información real y el score tiene que reflejarla.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200"/>
        <w:gridCol w:w="6280"/>
      </w:tblGrid>
      <w:tr>
        <w:trPr>
          <w:tblHeader/>
        </w:trPr>
        <w:tc>
          <w:tcPr>
            <w:tcW w:type="dxa" w:w="26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12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628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organizer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6</w:t>
            </w:r>
          </w:p>
        </w:tc>
        <w:tc>
          <w:tcPr>
            <w:tcW w:type="dxa" w:w="62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Tiene información privada que no está en ninguna fuente pública.</w:t>
            </w:r>
          </w:p>
        </w:tc>
      </w:tr>
      <w:tr>
        <w:tc>
          <w:tcPr>
            <w:tcW w:type="dxa" w:w="26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community_lead</w:t>
            </w:r>
          </w:p>
        </w:tc>
        <w:tc>
          <w:tcPr>
            <w:tcW w:type="dxa" w:w="1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4</w:t>
            </w:r>
          </w:p>
        </w:tc>
        <w:tc>
          <w:tcPr>
            <w:tcW w:type="dxa" w:w="62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Conoce la afinidad técnica real de la comunidad.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devrel / sponsor_lead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3</w:t>
            </w:r>
          </w:p>
        </w:tc>
        <w:tc>
          <w:tcPr>
            <w:tcW w:type="dxa" w:w="62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Juicio experto, pero desde afuera del mercado.</w:t>
            </w:r>
          </w:p>
        </w:tc>
      </w:tr>
      <w:tr>
        <w:tc>
          <w:tcPr>
            <w:tcW w:type="dxa" w:w="26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unknown</w:t>
            </w:r>
          </w:p>
        </w:tc>
        <w:tc>
          <w:tcPr>
            <w:tcW w:type="dxa" w:w="1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</w:t>
            </w:r>
          </w:p>
        </w:tc>
        <w:tc>
          <w:tcPr>
            <w:tcW w:type="dxa" w:w="62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 cuenta, pero casi no mueve la aguja.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03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La regla de confianza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Este es el punto donde un juez nos puede acusar de inventar números. Así que la regla es explícita, acotada y se muestra en pantalla.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5F8F8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0" w:line="258"/>
            </w:pPr>
            <w:r>
              <w:rPr>
                <w:rFonts w:ascii="Courier" w:cs="Courier" w:eastAsia="Courier" w:hAnsi="Courier"/>
                <w:b/>
                <w:bCs/>
                <w:i w:val="false"/>
                <w:iCs w:val="false"/>
                <w:color w:val="101820"/>
                <w:sz w:val="19"/>
                <w:szCs w:val="19"/>
              </w:rPr>
              <w:t xml:space="preserve">confidence_total = clamp( confidence_data + human_corroboration , 0 , 97 )</w:t>
            </w:r>
          </w:p>
          <w:p>
            <w:pPr>
              <w:spacing w:after="20" w:before="0" w:line="258"/>
            </w:pPr>
            <w:r>
              <w:rPr>
                <w:rFonts w:ascii="Courier" w:cs="Courier" w:eastAsia="Courier" w:hAnsi="Courier"/>
                <w:b w:val="false"/>
                <w:bCs w:val="false"/>
                <w:i w:val="false"/>
                <w:iCs w:val="false"/>
                <w:color w:val="293740"/>
                <w:sz w:val="17"/>
                <w:szCs w:val="17"/>
              </w:rPr>
              <w:t xml:space="preserve">human_corroboration = Σ evidencia:</w:t>
            </w:r>
          </w:p>
          <w:p>
            <w:pPr>
              <w:spacing w:after="20" w:before="0" w:line="258"/>
            </w:pPr>
            <w:r>
              <w:rPr>
                <w:rFonts w:ascii="Courier" w:cs="Courier" w:eastAsia="Courier" w:hAnsi="Courier"/>
                <w:b w:val="false"/>
                <w:bCs w:val="false"/>
                <w:i w:val="false"/>
                <w:iCs w:val="false"/>
                <w:color w:val="293740"/>
                <w:sz w:val="17"/>
                <w:szCs w:val="17"/>
              </w:rPr>
              <w:t xml:space="preserve">    + peso(rol)   si el voto es approve</w:t>
            </w:r>
          </w:p>
          <w:p>
            <w:pPr>
              <w:spacing w:after="20" w:before="0" w:line="258"/>
            </w:pPr>
            <w:r>
              <w:rPr>
                <w:rFonts w:ascii="Courier" w:cs="Courier" w:eastAsia="Courier" w:hAnsi="Courier"/>
                <w:b w:val="false"/>
                <w:bCs w:val="false"/>
                <w:i w:val="false"/>
                <w:iCs w:val="false"/>
                <w:color w:val="293740"/>
                <w:sz w:val="17"/>
                <w:szCs w:val="17"/>
              </w:rPr>
              <w:t xml:space="preserve">    − peso(rol)   si el voto es reject</w:t>
            </w:r>
          </w:p>
          <w:p>
            <w:pPr>
              <w:spacing w:after="100" w:before="0" w:line="258"/>
            </w:pPr>
            <w:r>
              <w:rPr>
                <w:rFonts w:ascii="Courier" w:cs="Courier" w:eastAsia="Courier" w:hAnsi="Courier"/>
                <w:b w:val="false"/>
                <w:bCs w:val="false"/>
                <w:i w:val="false"/>
                <w:iCs w:val="false"/>
                <w:color w:val="293740"/>
                <w:sz w:val="17"/>
                <w:szCs w:val="17"/>
              </w:rPr>
              <w:t xml:space="preserve">    − 2           si el voto es evidence_request  (❓)</w:t>
            </w:r>
          </w:p>
          <w:p>
            <w:pPr>
              <w:spacing w:after="0" w:before="0" w:line="258"/>
            </w:pPr>
            <w:r>
              <w:rPr>
                <w:rFonts w:ascii="Courier" w:cs="Courier" w:eastAsia="Courier" w:hAnsi="Courier"/>
                <w:b w:val="false"/>
                <w:bCs w:val="false"/>
                <w:i w:val="false"/>
                <w:iCs w:val="false"/>
                <w:color w:val="008C8C"/>
                <w:sz w:val="17"/>
                <w:szCs w:val="17"/>
              </w:rPr>
              <w:t xml:space="preserve">acotado a ±13 · techo duro 97 · nunca 100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Por qué esta regla nos defiende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i w:val="false"/>
          <w:iCs w:val="false"/>
          <w:color w:val="293740"/>
          <w:sz w:val="20"/>
          <w:szCs w:val="20"/>
        </w:rPr>
        <w:t xml:space="preserve">Un ❓ </w:t>
      </w:r>
      <w:r>
        <w:rPr>
          <w:rFonts w:ascii="Arial" w:cs="Arial" w:eastAsia="Arial" w:hAnsi="Arial"/>
          <w:b/>
          <w:bCs/>
          <w:i/>
          <w:iCs/>
          <w:color w:val="293740"/>
          <w:sz w:val="20"/>
          <w:szCs w:val="20"/>
        </w:rPr>
        <w:t xml:space="preserve">baja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 la confianza. Una pregunta abierta es incertidumbre, no engagement. Ningún otro equipo va a mostrar una métrica que empeora cuando alguien interactúa — y eso es exactamente lo que la vuelve creíble.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aporte humano está acotado a ±13 puntos. La corroboración social nunca puede disfrazarse de cobertura de datos.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Techo de 97. El producto jamás afirma certeza.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Cada delta se muestra con su razón, su rol y su timestamp. Nada se mueve sin explicación visible.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El recorrido de la demo, con números reales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800"/>
        <w:gridCol w:w="1500"/>
        <w:gridCol w:w="4780"/>
      </w:tblGrid>
      <w:tr>
        <w:trPr>
          <w:tblHeader/>
        </w:trPr>
        <w:tc>
          <w:tcPr>
            <w:tcW w:type="dxa" w:w="30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EVENTO</w:t>
            </w:r>
          </w:p>
        </w:tc>
        <w:tc>
          <w:tcPr>
            <w:tcW w:type="dxa" w:w="8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Δ</w:t>
            </w:r>
          </w:p>
        </w:tc>
        <w:tc>
          <w:tcPr>
            <w:tcW w:type="dxa" w:w="15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CONFIANZA</w:t>
            </w:r>
          </w:p>
        </w:tc>
        <w:tc>
          <w:tcPr>
            <w:tcW w:type="dxa" w:w="478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 QUE SE VE EN PANTALLA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8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84</w:t>
            </w:r>
          </w:p>
        </w:tc>
        <w:tc>
          <w:tcPr>
            <w:tcW w:type="dxa" w:w="47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Badge: Prepared · cobertura de datos</w:t>
            </w:r>
          </w:p>
        </w:tc>
      </w:tr>
      <w:tr>
        <w:tc>
          <w:tcPr>
            <w:tcW w:type="dxa" w:w="30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organizer aprueba</w:t>
            </w:r>
          </w:p>
        </w:tc>
        <w:tc>
          <w:tcPr>
            <w:tcW w:type="dxa" w:w="8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+6</w:t>
            </w:r>
          </w:p>
        </w:tc>
        <w:tc>
          <w:tcPr>
            <w:tcW w:type="dxa" w:w="15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90</w:t>
            </w:r>
          </w:p>
        </w:tc>
        <w:tc>
          <w:tcPr>
            <w:tcW w:type="dxa" w:w="47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“Organizer confirmed sponsor availability”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devrel aprueba</w:t>
            </w:r>
          </w:p>
        </w:tc>
        <w:tc>
          <w:tcPr>
            <w:tcW w:type="dxa" w:w="8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+3</w:t>
            </w:r>
          </w:p>
        </w:tc>
        <w:tc>
          <w:tcPr>
            <w:tcW w:type="dxa" w:w="1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93</w:t>
            </w:r>
          </w:p>
        </w:tc>
        <w:tc>
          <w:tcPr>
            <w:tcW w:type="dxa" w:w="47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Segundo voto entra al ledger</w:t>
            </w:r>
          </w:p>
        </w:tc>
      </w:tr>
      <w:tr>
        <w:tc>
          <w:tcPr>
            <w:tcW w:type="dxa" w:w="30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community_lead pide evidencia ❓</w:t>
            </w:r>
          </w:p>
        </w:tc>
        <w:tc>
          <w:tcPr>
            <w:tcW w:type="dxa" w:w="8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−2</w:t>
            </w:r>
          </w:p>
        </w:tc>
        <w:tc>
          <w:tcPr>
            <w:tcW w:type="dxa" w:w="15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91</w:t>
            </w:r>
          </w:p>
        </w:tc>
        <w:tc>
          <w:tcPr>
            <w:tcW w:type="dxa" w:w="47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Badge: Observed via Linq · 3 respuestas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04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El beat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Todo el proyecto se juega en tres segundos. Si esto se ve perfecto, ganamos Most Creative. Si se ve tosco, no hay backend que lo salve.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01820" w:color="auto" w:val="clear"/>
            <w:tcMar>
              <w:top w:type="dxa" w:w="220"/>
              <w:left w:type="dxa" w:w="140"/>
              <w:bottom w:type="dxa" w:w="220"/>
              <w:right w:type="dxa" w:w="140"/>
            </w:tcMar>
          </w:tcPr>
          <w:p>
            <w:pPr>
              <w:spacing w:after="9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C8C"/>
                <w:sz w:val="15"/>
                <w:szCs w:val="15"/>
              </w:rPr>
              <w:t xml:space="preserve">EL MOMENTO</w:t>
            </w:r>
          </w:p>
          <w:p>
            <w:pPr>
              <w:spacing w:after="10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El juez saca su propio iPhone, manda un 👍 al hilo, y sin tocar nuestra computadora el mapa se mueve: el medidor de confianza cuenta 84 → 91, aparece una fila nueva en el ledger de evidencia con la hora exacta, y el badge gira de Prepared a Observed.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D2D6"/>
                <w:sz w:val="18"/>
                <w:szCs w:val="18"/>
              </w:rPr>
              <w:t xml:space="preserve">No demostramos un workflow de aprobación. Demostramos causalidad entre una burbuja azul y un mapa global recalculándose.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Consecuencias de diseño, no negociables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beat se construye y se pule con eventos simulados en el bloque B. No puede depender de que el webhook de Linq ya funcione.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Latencia percibida objetivo: menos de 2 s entre el tapback y el movimiento en pantalla.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La animación respeta prefers-reduced-motion — el hook ya existe en el repo.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Si no hay señal en el venue, el mismo canal reproduce eventos grabados. El juez nunca ve un error.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El guion de 90 segundos — un solo loop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4700"/>
        <w:gridCol w:w="4480"/>
      </w:tblGrid>
      <w:tr>
        <w:trPr>
          <w:tblHeader/>
        </w:trPr>
        <w:tc>
          <w:tcPr>
            <w:tcW w:type="dxa" w:w="9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</w:t>
            </w:r>
          </w:p>
        </w:tc>
        <w:tc>
          <w:tcPr>
            <w:tcW w:type="dxa" w:w="47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PASA</w:t>
            </w:r>
          </w:p>
        </w:tc>
        <w:tc>
          <w:tcPr>
            <w:tcW w:type="dxa" w:w="448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SE DICE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0–15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Problema.</w:t>
            </w:r>
          </w:p>
        </w:tc>
        <w:tc>
          <w:tcPr>
            <w:tcW w:type="dxa" w:w="44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«Las empresas saben cuánto gastan en developer growth. No saben dónde rinde.»</w:t>
            </w:r>
          </w:p>
        </w:tc>
      </w:tr>
      <w:tr>
        <w:tc>
          <w:tcPr>
            <w:tcW w:type="dxa" w:w="9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15–40</w:t>
            </w:r>
          </w:p>
        </w:tc>
        <w:tc>
          <w:tcPr>
            <w:tcW w:type="dxa" w:w="47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Input real → Exa en vivo → el mapa rankea con evidencia clickeable.</w:t>
            </w:r>
          </w:p>
        </w:tc>
        <w:tc>
          <w:tcPr>
            <w:tcW w:type="dxa" w:w="44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«Cada razón tiene fuente, fecha y confianza. Nada está hardcodeado.»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40–55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Abrir el #1: score explicable, evidencia, qué lo subió y qué lo bajó.</w:t>
            </w:r>
          </w:p>
        </w:tc>
        <w:tc>
          <w:tcPr>
            <w:tcW w:type="dxa" w:w="44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«El score es auditable, no un número mágico.»</w:t>
            </w:r>
          </w:p>
        </w:tc>
      </w:tr>
      <w:tr>
        <w:tc>
          <w:tcPr>
            <w:tcW w:type="dxa" w:w="9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55–70</w:t>
            </w:r>
          </w:p>
        </w:tc>
        <w:tc>
          <w:tcPr>
            <w:tcW w:type="dxa" w:w="47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Campaña: dos variantes — n personas reales de Terac eligieron una esta tarde.</w:t>
            </w:r>
          </w:p>
        </w:tc>
        <w:tc>
          <w:tcPr>
            <w:tcW w:type="dxa" w:w="44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«Humanos reales mejoraron el mensaje hoy.»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70–90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Launch via iMessage. Tapback en vivo: 84 → 91, Prepared → Observed.</w:t>
            </w:r>
          </w:p>
        </w:tc>
        <w:tc>
          <w:tcPr>
            <w:tcW w:type="dxa" w:w="44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«Decidimos, actuamos y medimos. Ese es el loop completo del pitch.»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05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Contrato Frontend ↔ Backend</w:t>
      </w:r>
    </w:p>
    <w:p>
      <w:pPr>
        <w:spacing w:after="100" w:before="0" w:line="258"/>
      </w:pPr>
      <w:r>
        <w:rPr>
          <w:rFonts w:ascii="Arial" w:cs="Arial" w:eastAsia="Arial" w:hAnsi="Arial"/>
          <w:b/>
          <w:bCs/>
          <w:i w:val="false"/>
          <w:iCs w:val="false"/>
          <w:color w:val="293740"/>
          <w:sz w:val="20"/>
          <w:szCs w:val="20"/>
        </w:rPr>
        <w:t xml:space="preserve">Esto queda congelado en este documento y no se discute más.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frontend consume únicamente estos eventos; el backend es el único que conoce Linq. Es lo que nos permite trabajar en paralelo sin bloquearnos.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Canal en vivo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GET /api/launchroom/:id/stream        → SSE</w:t>
      </w:r>
    </w:p>
    <w:p>
      <w:pPr>
        <w:spacing w:after="6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3500"/>
        <w:gridCol w:w="4080"/>
      </w:tblGrid>
      <w:tr>
        <w:trPr>
          <w:tblHeader/>
        </w:trPr>
        <w:tc>
          <w:tcPr>
            <w:tcW w:type="dxa" w:w="25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EVENTO SSE</w:t>
            </w:r>
          </w:p>
        </w:tc>
        <w:tc>
          <w:tcPr>
            <w:tcW w:type="dxa" w:w="35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PAYLOAD</w:t>
            </w:r>
          </w:p>
        </w:tc>
        <w:tc>
          <w:tcPr>
            <w:tcW w:type="dxa" w:w="408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HACE EL FRONTEND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participant.joined</w:t>
            </w:r>
          </w:p>
        </w:tc>
        <w:tc>
          <w:tcPr>
            <w:tcW w:type="dxa" w:w="3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participantId, handle, role, at</w:t>
            </w:r>
          </w:p>
        </w:tc>
        <w:tc>
          <w:tcPr>
            <w:tcW w:type="dxa" w:w="40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Suma avatar al roster. Toast discreto.</w:t>
            </w:r>
          </w:p>
        </w:tc>
      </w:tr>
      <w:tr>
        <w:tc>
          <w:tcPr>
            <w:tcW w:type="dxa" w:w="25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vote.cast</w:t>
            </w:r>
          </w:p>
        </w:tc>
        <w:tc>
          <w:tcPr>
            <w:tcW w:type="dxa" w:w="35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participantId, role, kind, at, evidenceId</w:t>
            </w:r>
          </w:p>
        </w:tc>
        <w:tc>
          <w:tcPr>
            <w:tcW w:type="dxa" w:w="40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Actualiza el tally. Dispara el beat.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reply.received</w:t>
            </w:r>
          </w:p>
        </w:tc>
        <w:tc>
          <w:tcPr>
            <w:tcW w:type="dxa" w:w="3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participantId, text, at, evidenceId</w:t>
            </w:r>
          </w:p>
        </w:tc>
        <w:tc>
          <w:tcPr>
            <w:tcW w:type="dxa" w:w="40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Fila nueva en el feed de actividad.</w:t>
            </w:r>
          </w:p>
        </w:tc>
      </w:tr>
      <w:tr>
        <w:tc>
          <w:tcPr>
            <w:tcW w:type="dxa" w:w="25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confidence.updated</w:t>
            </w:r>
          </w:p>
        </w:tc>
        <w:tc>
          <w:tcPr>
            <w:tcW w:type="dxa" w:w="35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base, current, delta, reason, evidenceId</w:t>
            </w:r>
          </w:p>
        </w:tc>
        <w:tc>
          <w:tcPr>
            <w:tcW w:type="dxa" w:w="40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Anima el medidor. Flip del badge.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brief.generated</w:t>
            </w:r>
          </w:p>
        </w:tc>
        <w:tc>
          <w:tcPr>
            <w:tcW w:type="dxa" w:w="3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brief</w:t>
            </w:r>
          </w:p>
        </w:tc>
        <w:tc>
          <w:tcPr>
            <w:tcW w:type="dxa" w:w="40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Abre el panel de campaña.</w:t>
            </w:r>
          </w:p>
        </w:tc>
      </w:tr>
      <w:tr>
        <w:tc>
          <w:tcPr>
            <w:tcW w:type="dxa" w:w="25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room.decided</w:t>
            </w:r>
          </w:p>
        </w:tc>
        <w:tc>
          <w:tcPr>
            <w:tcW w:type="dxa" w:w="35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outcome, at</w:t>
            </w:r>
          </w:p>
        </w:tc>
        <w:tc>
          <w:tcPr>
            <w:tcW w:type="dxa" w:w="40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Estado final de la sala.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Endpoints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POST /api/launchroom          { opportunityId, quorum }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                            → { room, joinCode, joinUrl }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POST /api/linq/webhook        Linq → nosotros (mensajes + reacciones)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El evidence record que produce un tapback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Encaja tal cual en el contrato de evidencia que ya está escrito en lib/api/types.ts. No hay que inventar un modelo nuevo.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{ id: "linq-&lt;messageId&gt;",  source: "linq",  kind: "human_response",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title: "Organizer confirmed sponsor availability",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observedAt: &lt;ISO&gt;,        participantRole: "organizer",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isEstimated: false,       rightsBasis: "participant_consent" }</w:t>
      </w:r>
    </w:p>
    <w:p>
      <w:pPr>
        <w:spacing w:after="100" w:before="80" w:line="258"/>
      </w:pPr>
      <w:r>
        <w:rPr>
          <w:rFonts w:ascii="Courier" w:cs="Courier" w:eastAsia="Courier" w:hAnsi="Courier"/>
          <w:b/>
          <w:bCs/>
          <w:i w:val="false"/>
          <w:iCs w:val="false"/>
          <w:color w:val="293740"/>
          <w:sz w:val="17"/>
          <w:szCs w:val="17"/>
        </w:rPr>
        <w:t xml:space="preserve">rightsBasis: participant_consent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  — el participante inició la conversación. El diseño inbound-first no es sólo cumplimiento de las best practices de Linq: es lo que hace que el consentimiento sea válido y que la evidencia sea usable.</w:t>
      </w:r>
    </w:p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06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Calibración humana (Terac)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8F7F6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22"/>
                <w:szCs w:val="22"/>
              </w:rPr>
              <w:t xml:space="preserve">AI finds the market. Humans improve the message. Linq launches it.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Tres actos, un sponsor por acto. Terac no toca Launch Room, ni el mapa, ni el score: su superficie de contacto con el resto del producto es exactamente un string — el mensaje ganador de la campaña.</w:t>
            </w:r>
          </w:p>
        </w:tc>
      </w:tr>
    </w:tbl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Generamos dos variantes del mensaje de campaña. Personas reales — población general, reclutada por Terac durante la tarde — las comparan a ciegas en una página pública nuestra. Guardamos cada voto con su submissionId, calculamos win rate, y el mensaje ganador es el que Launch Room envía por iMessage. El resultado se muestra como venga: si es 51/49, se dice que la diferencia no es significativa con ese n. El 68% del borrador era un ejemplo, no un resultado — hardcodearlo sería exactamente lo que la sección 08 prohíbe.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La pregunta está diseñada para población general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El track lo exige («general-population participants only») y el playbook oficial lo confirma: el panel puede juzgar claridad, comprensión y preferencia — no corrección técnica. Por eso no preguntamos intención de asistir a un evento de developers; preguntamos legibilidad: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5F8F8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5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20"/>
                <w:szCs w:val="20"/>
              </w:rPr>
              <w:t xml:space="preserve">“Which of these two descriptions makes it clearer what you'd actually walk away with?”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7"/>
                <w:szCs w:val="17"/>
              </w:rPr>
              <w:t xml:space="preserve">Si la propuesta de valor no es legible para un humano promedio, tampoco lo es para un developer que la lee en cuatro segundos en un feed. Testear legibilidad es honesto — y es el hallazgo típico de la copy de DevRel.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No se construye de cero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Terac publicó </w:t>
      </w:r>
      <w:r>
        <w:rPr>
          <w:rFonts w:ascii="Courier" w:cs="Courier" w:eastAsia="Courier" w:hAnsi="Courier"/>
          <w:b/>
          <w:bCs/>
          <w:i w:val="false"/>
          <w:iCs w:val="false"/>
          <w:color w:val="293740"/>
          <w:sz w:val="17"/>
          <w:szCs w:val="17"/>
        </w:rPr>
        <w:t xml:space="preserve">svg-arena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 (github.com/TeracAI/svg-arena) como referencia forkeable de este track: una arena Next.js de comparación A/B a ciegas que ya trae captura de teracSubmissionId, par de calibración y callback de completado. Se porta la ruta y el API a nuestra app y se reemplaza el contenido por las variantes de campaña. Ranking: win rate simple = votos ganadores / comparaciones válidas. Bradley-Terry queda fuera.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Contrato adicional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GET  /research/campaign?teracSubmissionId=...   arena pública, sin login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POST /api/research/vote     { submissionId, campaignId, variant,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                              reason, calibrationPassed }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GET  /api/research/results?campaignId=...       → { nTotal, nValid, winRate, reasons }</w:t>
      </w:r>
    </w:p>
    <w:p>
      <w:pPr>
        <w:spacing w:after="30" w:line="240"/>
      </w:pP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Supabase: campaign_variants · research_votes</w:t>
      </w:r>
    </w:p>
    <w:p>
      <w:pPr>
        <w:spacing w:after="100" w:before="80" w:line="258"/>
      </w:pPr>
      <w:r>
        <w:rPr>
          <w:rFonts w:ascii="Arial" w:cs="Arial" w:eastAsia="Arial" w:hAnsi="Arial"/>
          <w:b/>
          <w:bCs/>
          <w:i w:val="false"/>
          <w:iCs w:val="false"/>
          <w:color w:val="293740"/>
          <w:sz w:val="18"/>
          <w:szCs w:val="18"/>
        </w:rPr>
        <w:t xml:space="preserve">Regla de análisis: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el par de calibración tiene una respuesta obvia; quien lo falla cobra igual (self_report auto-aprueba) pero su voto sale del análisis. «Quality-weighted» significa eso y nada más.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Operación — los datos duros de la doc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8180"/>
      </w:tblGrid>
      <w:tr>
        <w:trPr>
          <w:tblHeader/>
        </w:trPr>
        <w:tc>
          <w:tcPr>
            <w:tcW w:type="dxa" w:w="19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</w:t>
            </w:r>
          </w:p>
        </w:tc>
        <w:tc>
          <w:tcPr>
            <w:tcW w:type="dxa" w:w="818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Task</w:t>
            </w:r>
          </w:p>
        </w:tc>
        <w:tc>
          <w:tcPr>
            <w:tcW w:type="dxa" w:w="81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task_type: activity · task_url apunta a la arena · Terac agrega ?teracSubmissionId=... a la URL. Verificar que la página lo recibe.</w:t>
            </w:r>
          </w:p>
        </w:tc>
      </w:tr>
      <w:tr>
        <w:tc>
          <w:tcPr>
            <w:tcW w:type="dxa" w:w="19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Completado</w:t>
            </w:r>
          </w:p>
        </w:tc>
        <w:tc>
          <w:tcPr>
            <w:tcW w:type="dxa" w:w="81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Redirect del navegador, no webhook: terac.com/api/external/callback?teracSubmissionId=...&amp;result=completed. La arena lo dispara al terminar los pares. Configurar también screened_out y quota_full.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Review</w:t>
            </w:r>
          </w:p>
        </w:tc>
        <w:tc>
          <w:tcPr>
            <w:tcW w:type="dxa" w:w="81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self_report: auto-aprueba y paga solo. El pago no se gatea; el análisis sí, con la calibración.</w:t>
            </w:r>
          </w:p>
        </w:tc>
      </w:tr>
      <w:tr>
        <w:tc>
          <w:tcPr>
            <w:tcW w:type="dxa" w:w="19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Tamaño y costo</w:t>
            </w:r>
          </w:p>
        </w:tc>
        <w:tc>
          <w:tcPr>
            <w:tcW w:type="dxa" w:w="81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12–15 participantes (el mínimo permitido es 1). ~$5.50 por tarea de 5 min → ~$83 de los $250 del track.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Progreso</w:t>
            </w:r>
          </w:p>
        </w:tc>
        <w:tc>
          <w:tcPr>
            <w:tcW w:type="dxa" w:w="81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No hay webhooks: poll de GET /opportunities/{id} cada ~20 min. Rate limit: 100 req/min.</w:t>
            </w:r>
          </w:p>
        </w:tc>
      </w:tr>
      <w:tr>
        <w:tc>
          <w:tcPr>
            <w:tcW w:type="dxa" w:w="19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Lanzamiento</w:t>
            </w:r>
          </w:p>
        </w:tc>
        <w:tc>
          <w:tcPr>
            <w:tcW w:type="dxa" w:w="81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Soft launch con 2–3 (lo recomienda la propia doc), un completion verificado end-to-end, recién ahí full launch.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MCP</w:t>
            </w:r>
          </w:p>
        </w:tc>
        <w:tc>
          <w:tcPr>
            <w:tcW w:type="dxa" w:w="81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claude mcp add --transport http terac https://terac.com/api/mcp --header "x-api-key: tk_..." · el draft es gratis y muestra el precio antes de lanzar.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FF5DD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19"/>
                <w:szCs w:val="19"/>
              </w:rPr>
              <w:t xml:space="preserve">La latencia es el riesgo, no la capacidad.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El marketing de Terac dice «hours»; la doc operativa dice «first completes often arriving within a few days of launch». No hay SLA. Consecuencias de diseño: el estudio se lanza a las 13:45 como compuerta dura, el bloque del drawer se diseña para fill parcial desde el primer pixel («7 de 15 hasta ahora · el reclutamiento sigue»), y la demo jamás depende del n final.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07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Bloques de trabajo</w:t>
      </w:r>
    </w:p>
    <w:p>
      <w:pPr>
        <w:spacing w:after="100" w:before="0" w:line="258"/>
      </w:pPr>
      <w:r>
        <w:rPr>
          <w:rFonts w:ascii="Arial" w:cs="Arial" w:eastAsia="Arial" w:hAnsi="Arial"/>
          <w:b/>
          <w:bCs/>
          <w:i w:val="false"/>
          <w:iCs w:val="false"/>
          <w:color w:val="293740"/>
          <w:sz w:val="20"/>
          <w:szCs w:val="20"/>
        </w:rPr>
        <w:t xml:space="preserve">Frontend de Launch Room: Julián.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La arena Terac NO es de Julián: la hace la tercera persona del equipo — o Cursor con el spec de la sección 06 cerrado. Backend: primero la ruta de búsqueda (el núcleo), después Linq. Las horas son duras — si un bloque se pasa, se recorta alcance, no se corre el reloj.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1450"/>
        <w:gridCol w:w="3100"/>
        <w:gridCol w:w="2400"/>
        <w:gridCol w:w="2130"/>
      </w:tblGrid>
      <w:tr>
        <w:trPr>
          <w:tblHeader/>
        </w:trPr>
        <w:tc>
          <w:tcPr>
            <w:tcW w:type="dxa" w:w="10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HORA</w:t>
            </w:r>
          </w:p>
        </w:tc>
        <w:tc>
          <w:tcPr>
            <w:tcW w:type="dxa" w:w="31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FRONTEND</w:t>
            </w:r>
          </w:p>
        </w:tc>
        <w:tc>
          <w:tcPr>
            <w:tcW w:type="dxa" w:w="24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BACKEND / LINQ</w:t>
            </w:r>
          </w:p>
        </w:tc>
        <w:tc>
          <w:tcPr>
            <w:tcW w:type="dxa" w:w="213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HECHO CUANDO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12:45–13:05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Julián: esqueleto de /research/campaign portando svg-arena. Tercera persona: lee el spec de la arena.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API keys: Exa y Terac (créditos por Slack) + draft de la opportunity (gratis, muestra precio). Alta del número Linq. Preguntar a Josh/Rushir por el bundle.</w:t>
            </w:r>
          </w:p>
        </w:tc>
        <w:tc>
          <w:tcPr>
            <w:tcW w:type="dxa" w:w="213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Draft con precio visible. Contrato congelado (este doc).</w:t>
            </w:r>
          </w:p>
        </w:tc>
      </w:tr>
      <w:tr>
        <w:tc>
          <w:tcPr>
            <w:tcW w:type="dxa" w:w="10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A</w:t>
            </w:r>
          </w:p>
        </w:tc>
        <w:tc>
          <w:tcPr>
            <w:tcW w:type="dxa" w:w="145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13:05–13:45</w:t>
            </w:r>
          </w:p>
        </w:tc>
        <w:tc>
          <w:tcPr>
            <w:tcW w:type="dxa" w:w="31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Tercera persona / Cursor: arena completa — par de calibración, captura de teracSubmissionId, callback, POST vote, Supabase. Julián: destrabar DemoCityId, estado launchroom en el reducer, panel, SSE simulado.</w:t>
            </w:r>
          </w:p>
        </w:tc>
        <w:tc>
          <w:tcPr>
            <w:tcW w:type="dxa" w:w="24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EL NÚCLEO: ruta search real — conector Exa, scoreCities() revivido, evidencia con URL y fecha, fallback y cache.</w:t>
            </w:r>
          </w:p>
        </w:tc>
        <w:tc>
          <w:tcPr>
            <w:tcW w:type="dxa" w:w="213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Una query arbitraria devuelve mercados con evidencia real. La arena vota end-to-end.</w:t>
            </w:r>
          </w:p>
        </w:tc>
      </w:tr>
      <w:tr>
        <w:tc>
          <w:tcPr>
            <w:tcW w:type="dxa" w:w="1000"/>
            <w:shd w:fill="FFF5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⛔</w:t>
            </w:r>
          </w:p>
        </w:tc>
        <w:tc>
          <w:tcPr>
            <w:tcW w:type="dxa" w:w="1450"/>
            <w:shd w:fill="FFF5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18"/>
                <w:szCs w:val="18"/>
              </w:rPr>
              <w:t xml:space="preserve">13:45</w:t>
            </w:r>
          </w:p>
        </w:tc>
        <w:tc>
          <w:tcPr>
            <w:tcW w:type="dxa" w:w="7630"/>
            <w:gridSpan w:val="3"/>
            <w:shd w:fill="FFF5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1820"/>
                <w:sz w:val="17"/>
                <w:szCs w:val="17"/>
              </w:rPr>
              <w:t xml:space="preserve">COMPUERTA DURA — lanzar el estudio Terac. Soft launch 2–3, un completion verificado end-to-end, full launch a 15. Si la arena no está lista, se lanza igual con la versión que haya: sin estudio en el campo a esta hora no hay datos a las 16:05.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B</w:t>
            </w:r>
          </w:p>
        </w:tc>
        <w:tc>
          <w:tcPr>
            <w:tcW w:type="dxa" w:w="14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13:45–14:45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Julián: EL BEAT. Medidor animado, flip del badge, ledger de evidencia.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Webhook Linq + estado de sala + regla de confianza + evidence records. Terac corre solo: poll cada ~20 min.</w:t>
            </w:r>
          </w:p>
        </w:tc>
        <w:tc>
          <w:tcPr>
            <w:tcW w:type="dxa" w:w="213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El beat se ve perfecto, todavía sin Linq real.</w:t>
            </w:r>
          </w:p>
        </w:tc>
      </w:tr>
      <w:tr>
        <w:tc>
          <w:tcPr>
            <w:tcW w:type="dxa" w:w="10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C</w:t>
            </w:r>
          </w:p>
        </w:tc>
        <w:tc>
          <w:tcPr>
            <w:tcW w:type="dxa" w:w="145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14:45–15:30</w:t>
            </w:r>
          </w:p>
        </w:tc>
        <w:tc>
          <w:tcPr>
            <w:tcW w:type="dxa" w:w="31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Conectar el SSE real. Chips de interpretación desde la respuesta real.</w:t>
            </w:r>
          </w:p>
        </w:tc>
        <w:tc>
          <w:tcPr>
            <w:tcW w:type="dxa" w:w="24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Tapback real → evento real en el stream. Evidencia Exa visible en el drawer.</w:t>
            </w:r>
          </w:p>
        </w:tc>
        <w:tc>
          <w:tcPr>
            <w:tcW w:type="dxa" w:w="213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El primer 👍 de verdad mueve el mapa.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D</w:t>
            </w:r>
          </w:p>
        </w:tc>
        <w:tc>
          <w:tcPr>
            <w:tcW w:type="dxa" w:w="14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15:30–16:05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Bloque HUMAN VALIDATION en el drawer con lo que haya vuelto (estados n=0 y parcial diseñados). QR de join. Pasada de honestidad.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Brief + «apply winning campaign» → el mensaje ganador fluye a Linq. Modo replay.</w:t>
            </w:r>
          </w:p>
        </w:tc>
        <w:tc>
          <w:tcPr>
            <w:tcW w:type="dxa" w:w="213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Funciona sin el mapa y sin internet.</w:t>
            </w:r>
          </w:p>
        </w:tc>
      </w:tr>
      <w:tr>
        <w:tc>
          <w:tcPr>
            <w:tcW w:type="dxa" w:w="10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E</w:t>
            </w:r>
          </w:p>
        </w:tc>
        <w:tc>
          <w:tcPr>
            <w:tcW w:type="dxa" w:w="145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16:05–16:40</w:t>
            </w:r>
          </w:p>
        </w:tc>
        <w:tc>
          <w:tcPr>
            <w:tcW w:type="dxa" w:w="31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GRABAR EL VIDEO — guion en 3 actos: AI finds · humans improve · Linq launches.</w:t>
            </w:r>
          </w:p>
        </w:tc>
        <w:tc>
          <w:tcPr>
            <w:tcW w:type="dxa" w:w="24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Repo público. Deploy.</w:t>
            </w:r>
          </w:p>
        </w:tc>
        <w:tc>
          <w:tcPr>
            <w:tcW w:type="dxa" w:w="213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Video de 2 min subido a YouTube.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F</w:t>
            </w:r>
          </w:p>
        </w:tc>
        <w:tc>
          <w:tcPr>
            <w:tcW w:type="dxa" w:w="14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16:40–17:15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Buffer y submit.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Buffer y submit.</w:t>
            </w:r>
          </w:p>
        </w:tc>
        <w:tc>
          <w:tcPr>
            <w:tcW w:type="dxa" w:w="213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Submitted, con margen.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DEEEE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3A38"/>
                <w:sz w:val="19"/>
                <w:szCs w:val="19"/>
              </w:rPr>
              <w:t xml:space="preserve">El bloque E no se mueve.</w:t>
            </w:r>
          </w:p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Grabamos a las 16:05, no a las 17:10. La mayoría de los equipos que pierden no pierden por el código: se quedan sin tiempo para el entregable. El video se graba con lo que haya funcionando a esa hora.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22"/>
          <w:szCs w:val="22"/>
        </w:rPr>
        <w:t xml:space="preserve">El blocker que ya está identificado en el código</w:t>
      </w:r>
    </w:p>
    <w:p>
      <w:pPr>
        <w:spacing w:after="100" w:before="0" w:line="258"/>
      </w:pPr>
      <w:r>
        <w:rPr>
          <w:rFonts w:ascii="Courier" w:cs="Courier" w:eastAsia="Courier" w:hAnsi="Courier"/>
          <w:b/>
          <w:bCs/>
          <w:i w:val="false"/>
          <w:iCs w:val="false"/>
          <w:color w:val="293740"/>
          <w:sz w:val="17"/>
          <w:szCs w:val="17"/>
        </w:rPr>
        <w:t xml:space="preserve">atlas-shell.tsx:46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 tipa la selección como </w:t>
      </w: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DemoCityId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, y </w:t>
      </w:r>
      <w:r>
        <w:rPr>
          <w:rFonts w:ascii="Courier" w:cs="Courier" w:eastAsia="Courier" w:hAnsi="Courier"/>
          <w:b w:val="false"/>
          <w:bCs w:val="false"/>
          <w:i w:val="false"/>
          <w:iCs w:val="false"/>
          <w:color w:val="293740"/>
          <w:sz w:val="17"/>
          <w:szCs w:val="17"/>
        </w:rPr>
        <w:t xml:space="preserve">isDemoCityId()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 gatea selectCity en la línea 302. Cualquier ciudad fuera de las tres fixtures es silenciosamente inclickeable. Se destraba en el bloque C.</w:t>
      </w:r>
    </w:p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08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Honestidad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Las reglas del track dicen, textual, que desaconsejan «projects with hard-coded functionality (judges will check)». Van a abrir el repo. Nos adelantamos.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280"/>
        <w:gridCol w:w="1600"/>
      </w:tblGrid>
      <w:tr>
        <w:trPr>
          <w:tblHeader/>
        </w:trPr>
        <w:tc>
          <w:tcPr>
            <w:tcW w:type="dxa" w:w="22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</w:t>
            </w:r>
          </w:p>
        </w:tc>
        <w:tc>
          <w:tcPr>
            <w:tcW w:type="dxa" w:w="628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16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CUÁNDO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La mentira en pantalla</w:t>
            </w:r>
          </w:p>
        </w:tc>
        <w:tc>
          <w:tcPr>
            <w:tcW w:type="dxa" w:w="62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atlas-header.tsx:6 dice «Live signals · updated 2m ago» y nada es live. Se elimina. Launch Room es lo que nos da derecho a esa palabra — y sólo mientras la sala está abierta.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Bloque D</w:t>
            </w:r>
          </w:p>
        </w:tc>
      </w:tr>
      <w:tr>
        <w:tc>
          <w:tcPr>
            <w:tcW w:type="dxa" w:w="2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Taxonomía de badges</w:t>
            </w:r>
          </w:p>
        </w:tc>
        <w:tc>
          <w:tcPr>
            <w:tcW w:type="dxa" w:w="62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Prepared · Estimated · Observed. Observed exige URL con fecha, o un evidence record de Linq. Nada más.</w:t>
            </w:r>
          </w:p>
        </w:tc>
        <w:tc>
          <w:tcPr>
            <w:tcW w:type="dxa" w:w="16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Bloque B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El proyecto pre-existente</w:t>
            </w:r>
          </w:p>
        </w:tc>
        <w:tc>
          <w:tcPr>
            <w:tcW w:type="dxa" w:w="62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 lo decimos al juez antes de que pregunte: el mapa es de ayer, Launch Room es de hoy. La regla lo permite. Que nos agarren es mucho peor que contarlo.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En la mesa</w:t>
            </w:r>
          </w:p>
        </w:tc>
      </w:tr>
      <w:tr>
        <w:tc>
          <w:tcPr>
            <w:tcW w:type="dxa" w:w="2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Camino standalone</w:t>
            </w:r>
          </w:p>
        </w:tc>
        <w:tc>
          <w:tcPr>
            <w:tcW w:type="dxa" w:w="62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Si el juez aplica «sólo la feature nueva», mostramos el loop completo sin el mapa: texteás → llega la oportunidad → tapback → recalcula → brief.</w:t>
            </w:r>
          </w:p>
        </w:tc>
        <w:tc>
          <w:tcPr>
            <w:tcW w:type="dxa" w:w="16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Bloque 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El win rate no se decide antes</w:t>
            </w:r>
          </w:p>
        </w:tc>
        <w:tc>
          <w:tcPr>
            <w:tcW w:type="dxa" w:w="62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 muestra el número que vuelva, con nTotal y nValid visibles. Si es 51/49, el bloque dice que la diferencia no es significativa con ese n. Ningún porcentaje entra hardcodeado.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Bloque D</w:t>
            </w:r>
          </w:p>
        </w:tc>
      </w:tr>
      <w:tr>
        <w:tc>
          <w:tcPr>
            <w:tcW w:type="dxa" w:w="2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Quiénes son los reviewers</w:t>
            </w:r>
          </w:p>
        </w:tc>
        <w:tc>
          <w:tcPr>
            <w:tcW w:type="dxa" w:w="62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«12 real reviewers · general population · recruited via Terac». Jamás «expert developers» — el panel no lo es y los jueces de Terac lo saben.</w:t>
            </w:r>
          </w:p>
        </w:tc>
        <w:tc>
          <w:tcPr>
            <w:tcW w:type="dxa" w:w="16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Bloque D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09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Riesgos y planes B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6880"/>
            <w:shd w:fill="1018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PLAN B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Exa falla o se queda sin créditos en vivo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Cache + seeds responden con degradación parcial y warning; sólo si toda la ruta falla entra el demo-adapter, marcado «fallback» en la UI. Es la política que el plan de backend ya definió.</w:t>
            </w:r>
          </w:p>
        </w:tc>
      </w:tr>
      <w:tr>
        <w:tc>
          <w:tcPr>
            <w:tcW w:type="dxa" w:w="3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Linq no nos presta el bundle de la extensión</w:t>
            </w:r>
          </w:p>
        </w:tc>
        <w:tc>
          <w:tcPr>
            <w:tcW w:type="dxa" w:w="68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Sin iMessage App. La demo corre sobre group chat, tapbacks, typing indicators y rich link preview — que funcionan en cualquier iPhone. Ya está contemplado.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El webhook no llega a localhost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Túnel (ngrok o cloudflared) levantado y verificado ANTES del bloque C, no durante.</w:t>
            </w:r>
          </w:p>
        </w:tc>
      </w:tr>
      <w:tr>
        <w:tc>
          <w:tcPr>
            <w:tcW w:type="dxa" w:w="3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Se cae el wifi del venue</w:t>
            </w:r>
          </w:p>
        </w:tc>
        <w:tc>
          <w:tcPr>
            <w:tcW w:type="dxa" w:w="68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Modo replay: eventos grabados que se reproducen por el mismo canal SSE. La UI no distingue.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El juez no tiene iPhone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Fallback RCS/SMS: el tapback degrada a texto y se parsea el emoji. Se prueba en el bloque D.</w:t>
            </w:r>
          </w:p>
        </w:tc>
      </w:tr>
      <w:tr>
        <w:tc>
          <w:tcPr>
            <w:tcW w:type="dxa" w:w="3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El beat no queda fino a las 14:45</w:t>
            </w:r>
          </w:p>
        </w:tc>
        <w:tc>
          <w:tcPr>
            <w:tcW w:type="dxa" w:w="68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 congela el alcance: menos features en la sala, el beat se termina igual. Es lo único que no se recorta.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Cero completions de Terac al grabar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El video muestra el estudio ACTIVE vía API, la arena en vivo y los votos que haya. La narrativa no cambia: «el reclutamiento sigue esta tarde — así entra el dato». El bloque del drawer ya tiene diseñado el estado n=0.</w:t>
            </w:r>
          </w:p>
        </w:tc>
      </w:tr>
      <w:tr>
        <w:tc>
          <w:tcPr>
            <w:tcW w:type="dxa" w:w="320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La arena no está lista a las 13:45</w:t>
            </w:r>
          </w:p>
        </w:tc>
        <w:tc>
          <w:tcPr>
            <w:tcW w:type="dxa" w:w="6880"/>
            <w:shd w:fill="F5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 lanza igual con la versión mínima que haya (dos cards y un POST). Cada minuto de demora come la única ventana que no controlamos: la latencia de reclutamiento.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3740"/>
                <w:sz w:val="18"/>
                <w:szCs w:val="18"/>
              </w:rPr>
              <w:t xml:space="preserve">Terac manda gente y la página pierde el submissionId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3740"/>
                <w:sz w:val="18"/>
                <w:szCs w:val="18"/>
              </w:rPr>
              <w:t xml:space="preserve">Se prueba con el soft launch de 2–3 antes del full launch. El patrón de captura es el del fork oficial: URLSearchParams + fallback por Referer.</w:t>
            </w:r>
          </w:p>
        </w:tc>
      </w:tr>
    </w:tbl>
    <w:p>
      <w:pPr>
        <w:spacing w:after="40" w:before="250"/>
      </w:pPr>
      <w:r>
        <w:rPr>
          <w:rFonts w:ascii="Arial" w:cs="Arial" w:eastAsia="Arial" w:hAnsi="Arial"/>
          <w:b/>
          <w:bCs/>
          <w:i w:val="false"/>
          <w:iCs w:val="false"/>
          <w:color w:val="008C8C"/>
          <w:sz w:val="17"/>
          <w:szCs w:val="17"/>
        </w:rPr>
        <w:t xml:space="preserve">10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1820"/>
          <w:sz w:val="30"/>
          <w:szCs w:val="30"/>
        </w:rPr>
        <w:t xml:space="preserve">Definición de terminado</w:t>
      </w:r>
    </w:p>
    <w:p>
      <w:pPr>
        <w:spacing w:after="100" w:before="0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día está terminado cuando pasa esta lista completa. No antes.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Una consulta arbitraria devuelve mercados rankeados con evidencia real — URL y fecha visibles — sin tocar una fixture.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Las seis ciudades del mapa son seleccionables; DemoCityId ya no gatea nada.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Un participante entra a la sala desde su propio teléfono sin instalar nada, iniciando él la conversación.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Un tapback real mueve la confianza en pantalla en menos de 2 segundos.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Cada delta de confianza muestra razón, rol, fuente y hora.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❓ baja la confianza, y se puede demostrar en vivo.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Al llegar al quórum, el brief se genera y se publica en el hilo.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loop completo se puede mostrar sin el mapa.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Con el wifi apagado, la demo corre igual en modo replay.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No queda ni un badge «Observed» sobre un dato preparado.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estudio Terac se lanzó a las 13:45 o antes, y la arena captura teracSubmissionId y dispara el callback de completado.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bloque HUMAN VALIDATION renderiza honesto en los tres estados: n=0, fill parcial y estudio completo.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El mensaje ganador aplicado es el que Linq envía — el string viaja de Terac a iMessage sin edición manual.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20"/>
          <w:szCs w:val="20"/>
        </w:rPr>
        <w:t xml:space="preserve">Video de 2 minutos en YouTube, repo público, deploy en vivo.</w:t>
      </w:r>
    </w:p>
    <w:p>
      <w:pPr>
        <w:pBdr>
          <w:bottom w:val="single" w:color="D8DEE1" w:sz="6"/>
        </w:pBdr>
        <w:spacing w:after="120" w:before="120"/>
      </w:pPr>
    </w:p>
    <w:p>
      <w:pPr>
        <w:spacing w:after="40" w:before="0" w:line="258"/>
      </w:pPr>
      <w:r>
        <w:rPr>
          <w:rFonts w:ascii="Arial" w:cs="Arial" w:eastAsia="Arial" w:hAnsi="Arial"/>
          <w:b/>
          <w:bCs/>
          <w:i w:val="false"/>
          <w:iCs w:val="false"/>
          <w:color w:val="293740"/>
          <w:sz w:val="18"/>
          <w:szCs w:val="18"/>
        </w:rPr>
        <w:t xml:space="preserve">Entregables de submission: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3740"/>
          <w:sz w:val="18"/>
          <w:szCs w:val="18"/>
        </w:rPr>
        <w:t xml:space="preserve">video de YouTube de 2 minutos como máximo · repositorio de GitHub público · link de deploy (recomendado). Tracks: Most Creative (general) + Best Use of Linq + Best Use of Terac.</w:t>
      </w:r>
    </w:p>
    <w:p>
      <w:pPr>
        <w:spacing w:after="0" w:before="0" w:line="258"/>
      </w:pPr>
      <w:r>
        <w:rPr>
          <w:rFonts w:ascii="Arial" w:cs="Arial" w:eastAsia="Arial" w:hAnsi="Arial"/>
          <w:b w:val="false"/>
          <w:bCs w:val="false"/>
          <w:i/>
          <w:iCs/>
          <w:color w:val="63727A"/>
          <w:sz w:val="16"/>
          <w:szCs w:val="16"/>
        </w:rPr>
        <w:t xml:space="preserve">24 de julio de 2026 · Reemplaza cualquier plan anterior para la jornada de hoy.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Arial" w:cs="Arial" w:eastAsia="Arial" w:hAnsi="Arial"/>
        <w:color w:val="008C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37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2026-07-24T20:05:38.086Z</dcterms:created>
  <dcterms:modified xsi:type="dcterms:W3CDTF">2026-07-24T20:05:38.087Z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