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008C8C"/>
          <w:sz w:val="18"/>
        </w:rPr>
        <w:t>BACKEND SEARCH IMPLEMENTATION PLAN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101820"/>
          <w:sz w:val="50"/>
        </w:rPr>
        <w:t>GrowXth</w:t>
      </w:r>
    </w:p>
    <w:p>
      <w:pPr>
        <w:keepNext w:val="0"/>
        <w:spacing w:before="0" w:after="320" w:line="278" w:lineRule="auto"/>
      </w:pPr>
      <w:r>
        <w:rPr>
          <w:rFonts w:ascii="Arial" w:hAnsi="Arial" w:eastAsia="Arial"/>
          <w:b w:val="0"/>
          <w:i w:val="0"/>
          <w:color w:val="63727A"/>
          <w:sz w:val="24"/>
        </w:rPr>
        <w:t>Plan técnico para convertir el frontend actual en un MVP defendible: búsqueda global con evidencia, ranking explicable y un fallback sólido para la demo.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210" w:type="dxa"/>
              <w:bottom w:w="150" w:type="dxa"/>
              <w:end w:w="190" w:type="dxa"/>
            </w:tcMar>
            <w:shd w:fill="E8F7F6"/>
            <w:tcBorders>
              <w:top w:val="nil"/>
              <w:start w:val="single" w:sz="26" w:space="0" w:color="008C8C"/>
              <w:bottom w:val="nil"/>
              <w:end w:val="nil"/>
            </w:tcBorders>
            <w:vAlign w:val="center"/>
          </w:tcPr>
          <w:p>
            <w:pPr>
              <w:keepNext w:val="0"/>
              <w:spacing w:before="0" w:after="8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22"/>
              </w:rPr>
              <w:t>Decisión en una frase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20"/>
              </w:rPr>
              <w:t>Next.js sigue siendo el backend del MVP. Exa aporta descubrimiento web en vivo; Apify precarga eventos fuera del request; GitHub aporta actividad técnica agregada; Supabase guarda evidencia y caché. Si una fuente falla, el producto responde parcial o usa datos preparados.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8C8C"/>
                <w:sz w:val="32"/>
              </w:rPr>
              <w:t>&lt; 8 s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RESPUESTA OBJETIVO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Tres mercados, evidencia y cobertura.</w:t>
            </w:r>
          </w:p>
        </w:tc>
        <w:tc>
          <w:tcPr>
            <w:tcW w:type="dxa" w:w="312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8C8C"/>
                <w:sz w:val="32"/>
              </w:rPr>
              <w:t>3-4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CONSULTAS EXA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Por búsqueda, ejecutadas en paralelo.</w:t>
            </w:r>
          </w:p>
        </w:tc>
        <w:tc>
          <w:tcPr>
            <w:tcW w:type="dxa" w:w="312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8C8C"/>
                <w:sz w:val="32"/>
              </w:rPr>
              <w:t>$0-20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GASTO INICIAL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Suficiente para probar el MVP.</w:t>
            </w:r>
          </w:p>
        </w:tc>
      </w:tr>
    </w:tbl>
    <w:p>
      <w:pPr>
        <w:spacing w:after="40"/>
      </w:pPr>
    </w:p>
    <w:p>
      <w:pPr>
        <w:pStyle w:val="Heading1"/>
      </w:pPr>
      <w:r>
        <w:t>Qué debe funcionar mañana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/>
          <w:i w:val="0"/>
          <w:color w:val="293740"/>
          <w:sz w:val="22"/>
        </w:rPr>
        <w:t>Una consulta real:</w:t>
      </w:r>
      <w:r>
        <w:rPr>
          <w:rFonts w:ascii="Arial" w:hAnsi="Arial" w:eastAsia="Arial"/>
          <w:b w:val="0"/>
          <w:i w:val="0"/>
          <w:color w:val="293740"/>
          <w:sz w:val="22"/>
        </w:rPr>
        <w:t xml:space="preserve"> el usuario describe producto y objetivo; la app devuelve tres mercados evaluados.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/>
          <w:i w:val="0"/>
          <w:color w:val="293740"/>
          <w:sz w:val="22"/>
        </w:rPr>
        <w:t>Evidencia visible:</w:t>
      </w:r>
      <w:r>
        <w:rPr>
          <w:rFonts w:ascii="Arial" w:hAnsi="Arial" w:eastAsia="Arial"/>
          <w:b w:val="0"/>
          <w:i w:val="0"/>
          <w:color w:val="293740"/>
          <w:sz w:val="22"/>
        </w:rPr>
        <w:t xml:space="preserve"> cada recomendación enlaza fuentes, indica fecha y nivel de confianza.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/>
          <w:i w:val="0"/>
          <w:color w:val="293740"/>
          <w:sz w:val="22"/>
        </w:rPr>
        <w:t>Datos honestos:</w:t>
      </w:r>
      <w:r>
        <w:rPr>
          <w:rFonts w:ascii="Arial" w:hAnsi="Arial" w:eastAsia="Arial"/>
          <w:b w:val="0"/>
          <w:i w:val="0"/>
          <w:color w:val="293740"/>
          <w:sz w:val="22"/>
        </w:rPr>
        <w:t xml:space="preserve"> observado, estimado y preparado no se mezclan.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/>
          <w:i w:val="0"/>
          <w:color w:val="293740"/>
          <w:sz w:val="22"/>
        </w:rPr>
        <w:t>Demo resiliente:</w:t>
      </w:r>
      <w:r>
        <w:rPr>
          <w:rFonts w:ascii="Arial" w:hAnsi="Arial" w:eastAsia="Arial"/>
          <w:b w:val="0"/>
          <w:i w:val="0"/>
          <w:color w:val="293740"/>
          <w:sz w:val="22"/>
        </w:rPr>
        <w:t xml:space="preserve"> sin internet o sin crédito, la misma UI funciona con un dataset local.</w:t>
      </w:r>
    </w:p>
    <w:p>
      <w:pPr>
        <w:pStyle w:val="Heading2"/>
      </w:pPr>
      <w:r>
        <w:t>Qué queda fuera del MVP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No se construye un scraper universal, no se calcula ROI real sin datos del cliente y no se depende de LinkedIn o de scraping no autorizado de X. La promesa de mañana es descubrir y justificar mercados, eventos y comunidades para developer growth.</w:t>
      </w:r>
    </w:p>
    <w:p>
      <w:pPr>
        <w:keepNext w:val="0"/>
        <w:spacing w:before="0" w:after="0" w:line="264" w:lineRule="auto"/>
      </w:pPr>
      <w:r>
        <w:rPr>
          <w:rFonts w:ascii="Arial" w:hAnsi="Arial" w:eastAsia="Arial"/>
          <w:b/>
          <w:i w:val="0"/>
          <w:color w:val="293740"/>
          <w:sz w:val="22"/>
        </w:rPr>
        <w:t>Fuente de verdad del producto:</w:t>
      </w:r>
      <w:r>
        <w:rPr>
          <w:rFonts w:ascii="Arial" w:hAnsi="Arial" w:eastAsia="Arial"/>
          <w:b w:val="0"/>
          <w:i w:val="0"/>
          <w:color w:val="293740"/>
          <w:sz w:val="22"/>
        </w:rPr>
        <w:t xml:space="preserve"> el pitch adjunto define el problema y la métrica final; el código actual define qué puede demostrarse mañana.</w:t>
      </w:r>
    </w:p>
    <w:p>
      <w:r>
        <w:br w:type="page"/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008C8C"/>
          <w:sz w:val="18"/>
        </w:rPr>
        <w:t>01  ESTADO ACTUAL</w:t>
      </w:r>
    </w:p>
    <w:p>
      <w:pPr>
        <w:pStyle w:val="Heading1"/>
      </w:pPr>
      <w:r>
        <w:t>Hay una UI fuerte; falta conectar la inteligencia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El frontend no necesita un rediseño. Compila, pasa lint y ya comunica una plataforma profesional. La brecha principal es que la búsqueda todavía usa escenarios preparados y varios componentes dependen de seis ciudades estáticas.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50"/>
        <w:gridCol w:w="3810"/>
      </w:tblGrid>
      <w:tr>
        <w:trPr>
          <w:tblHeader w:val="true"/>
          <w:cantSplit/>
        </w:trPr>
        <w:tc>
          <w:tcPr>
            <w:tcW w:type="dxa" w:w="170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Área</w:t>
            </w:r>
          </w:p>
        </w:tc>
        <w:tc>
          <w:tcPr>
            <w:tcW w:type="dxa" w:w="385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Ya existe</w:t>
            </w:r>
          </w:p>
        </w:tc>
        <w:tc>
          <w:tcPr>
            <w:tcW w:type="dxa" w:w="381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Brecha para mañana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Frontend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Mapa, animación, ranking, drawer, estados de carga/error y navegación accesible.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El drawer, campaña y nube de señales todavía reciben DemoCity.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Contrato</w:t>
            </w:r>
          </w:p>
        </w:tc>
        <w:tc>
          <w:tcPr>
            <w:tcW w:type="dxa" w:w="38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SearchRequest, SearchResponse, oportunidades, evidencia y cobertura.</w:t>
            </w:r>
          </w:p>
        </w:tc>
        <w:tc>
          <w:tcPr>
            <w:tcW w:type="dxa" w:w="38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No existe todavía POST /api/opportunities/search.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Eventos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Importador de URL pública de Luma con timeout, JSON-LD y cobertura honesta.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Sirve para URLs individuales; no descubre un catálogo global.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Comunidades</w:t>
            </w:r>
          </w:p>
        </w:tc>
        <w:tc>
          <w:tcPr>
            <w:tcW w:type="dxa" w:w="38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Buen schema Python: candidato, revisión, rights basis, evidencia y geografía.</w:t>
            </w:r>
          </w:p>
        </w:tc>
        <w:tc>
          <w:tcPr>
            <w:tcW w:type="dxa" w:w="38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Stores vacíos, sólo SF, sin servicio ni conexión con Next.js.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Datos</w:t>
            </w:r>
          </w:p>
        </w:tc>
        <w:tc>
          <w:tcPr>
            <w:tcW w:type="dxa" w:w="3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Fallback preparado y tres URLs de Luma verificadas.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Señales fijas, sin caché persistente y sin métricas técnicas reales.</w:t>
            </w:r>
          </w:p>
        </w:tc>
      </w:tr>
    </w:tbl>
    <w:p>
      <w:pPr>
        <w:spacing w:after="40"/>
      </w:pPr>
    </w:p>
    <w:p>
      <w:pPr>
        <w:pStyle w:val="Heading2"/>
      </w:pPr>
      <w:r>
        <w:t>Pruebas realizadas sobre la codebase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pnpm lint y pnpm build: correctos.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La vista principal y el flujo de búsqueda se validaron en navegador sin errores de consola.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Los tres eventos de hackathon se importan: c0mpiled-11 y JacHacks SF con ciudad/coordenadas; YC Startup School con cobertura parcial.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sf-community-map/schema.py compila, pero normalize_url() falla con URLs sin esquema pese a que su comentario promete agregar HTTPS.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210" w:type="dxa"/>
              <w:bottom w:w="150" w:type="dxa"/>
              <w:end w:w="190" w:type="dxa"/>
            </w:tcMar>
            <w:shd w:fill="FFF5DD"/>
            <w:tcBorders>
              <w:top w:val="nil"/>
              <w:start w:val="single" w:sz="26" w:space="0" w:color="C98200"/>
              <w:bottom w:val="nil"/>
              <w:end w:val="nil"/>
            </w:tcBorders>
            <w:vAlign w:val="center"/>
          </w:tcPr>
          <w:p>
            <w:pPr>
              <w:keepNext w:val="0"/>
              <w:spacing w:before="0" w:after="8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22"/>
              </w:rPr>
              <w:t>Dos correcciones de credibilidad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20"/>
              </w:rPr>
              <w:t>Cambiar “Live signals” por “Prepared data” hasta que la ruta real esté conectada. En fixtures, usar badge “Prepared”; reservar “Observed” para evidencia con URL y fecha verificables.</w:t>
            </w:r>
          </w:p>
        </w:tc>
      </w:tr>
    </w:tbl>
    <w:p>
      <w:pPr>
        <w:spacing w:after="40"/>
      </w:pPr>
    </w:p>
    <w:p>
      <w:pPr>
        <w:pStyle w:val="Heading2"/>
      </w:pPr>
      <w:r>
        <w:t>Conclusión de auditoría</w:t>
      </w:r>
    </w:p>
    <w:p>
      <w:pPr>
        <w:keepNext w:val="0"/>
        <w:spacing w:before="0" w:after="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La inversión más rentable no es sumar pantallas. Es implementar un puente del contrato existente a una ruta real y eliminar el acoplamiento a DemoCity. Eso permite conservar toda la UI y reemplazar gradualmente los datos preparados por evidencia real.</w:t>
      </w:r>
    </w:p>
    <w:p>
      <w:r>
        <w:br w:type="page"/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008C8C"/>
          <w:sz w:val="18"/>
        </w:rPr>
        <w:t>02  ARQUITECTURA ELEGIDA</w:t>
      </w:r>
    </w:p>
    <w:p>
      <w:pPr>
        <w:pStyle w:val="Heading1"/>
      </w:pPr>
      <w:r>
        <w:t>Separar la búsqueda en vivo de la recolección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La demo nunca debe esperar a que un actor recorra Luma o a que GitHub procese miles de repositorios. La ruta en vivo combina evidencia rápida con datos ya normalizados; la ruta batch alimenta ese almacén antes del evento.</w:t>
      </w:r>
    </w:p>
    <w:p>
      <w:pPr>
        <w:pStyle w:val="Heading3"/>
      </w:pPr>
      <w:r>
        <w:t>Ruta en vivo - lo que ve el jurado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UI del mapa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SearchRequest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API search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timeout 8 s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Planner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tema + objetivo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Score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3 mercados</w:t>
            </w:r>
          </w:p>
        </w:tc>
        <w:tc>
          <w:tcPr>
            <w:tcW w:type="dxa" w:w="1872"/>
            <w:shd w:fill="E8F7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SearchResponse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evidencia + confianza</w:t>
            </w:r>
          </w:p>
        </w:tc>
      </w:tr>
    </w:tbl>
    <w:p>
      <w:pPr>
        <w:spacing w:after="20"/>
      </w:pPr>
    </w:p>
    <w:p>
      <w:pPr>
        <w:pStyle w:val="Heading3"/>
      </w:pPr>
      <w:r>
        <w:t>Fuentes del planner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E8F7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Exa Search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web actual + highlights</w:t>
            </w:r>
          </w:p>
        </w:tc>
        <w:tc>
          <w:tcPr>
            <w:tcW w:type="dxa" w:w="23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Eventos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cache/Supabase</w:t>
            </w:r>
          </w:p>
        </w:tc>
        <w:tc>
          <w:tcPr>
            <w:tcW w:type="dxa" w:w="23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Comunidades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revisadas</w:t>
            </w:r>
          </w:p>
        </w:tc>
        <w:tc>
          <w:tcPr>
            <w:tcW w:type="dxa" w:w="23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GitHub/X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métricas precalculadas</w:t>
            </w:r>
          </w:p>
        </w:tc>
      </w:tr>
    </w:tbl>
    <w:p>
      <w:pPr>
        <w:spacing w:after="20"/>
      </w:pPr>
    </w:p>
    <w:p>
      <w:pPr>
        <w:pStyle w:val="Heading3"/>
      </w:pPr>
      <w:r>
        <w:t>Ruta batch - se ejecuta antes de la demo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FF5D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Apify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descubrir eventos</w:t>
            </w:r>
          </w:p>
        </w:tc>
        <w:tc>
          <w:tcPr>
            <w:tcW w:type="dxa" w:w="23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Normalizar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dedupe + geo</w:t>
            </w:r>
          </w:p>
        </w:tc>
        <w:tc>
          <w:tcPr>
            <w:tcW w:type="dxa" w:w="23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Revisión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derechos + evidencia</w:t>
            </w:r>
          </w:p>
        </w:tc>
        <w:tc>
          <w:tcPr>
            <w:tcW w:type="dxa" w:w="2340"/>
            <w:shd w:fill="E8F7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space="0" w:color="D9E1E4"/>
              <w:start w:val="single" w:sz="7" w:space="0" w:color="D9E1E4"/>
              <w:bottom w:val="single" w:sz="7" w:space="0" w:color="D9E1E4"/>
              <w:end w:val="single" w:sz="7" w:space="0" w:color="D9E1E4"/>
            </w:tcBorders>
          </w:tcPr>
          <w:p>
            <w:pPr>
              <w:keepNext w:val="0"/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01820"/>
                <w:sz w:val="19"/>
              </w:rPr>
              <w:t>Persistir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Supabase + JSON fallback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200"/>
        <w:gridCol w:w="2710"/>
      </w:tblGrid>
      <w:tr>
        <w:trPr>
          <w:tblHeader w:val="true"/>
          <w:cantSplit/>
        </w:trPr>
        <w:tc>
          <w:tcPr>
            <w:tcW w:type="dxa" w:w="145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520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Responsabilidad</w:t>
            </w:r>
          </w:p>
        </w:tc>
        <w:tc>
          <w:tcPr>
            <w:tcW w:type="dxa" w:w="271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Live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Interpretar, recuperar evidencia actual, rankear y responder.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Máximo 8 s; degradación parcial.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Batch</w:t>
            </w:r>
          </w:p>
        </w:tc>
        <w:tc>
          <w:tcPr>
            <w:tcW w:type="dxa" w:w="52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Descubrir, normalizar, deduplicar, geocodificar y revisar.</w:t>
            </w:r>
          </w:p>
        </w:tc>
        <w:tc>
          <w:tcPr>
            <w:tcW w:type="dxa" w:w="27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Nunca bloquea la demo.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Storage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Eventos, comunidades, métricas, evidencia y caché.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Supabase + snapshot JSON local.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UI</w:t>
            </w:r>
          </w:p>
        </w:tc>
        <w:tc>
          <w:tcPr>
            <w:tcW w:type="dxa" w:w="52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Renderizar el contrato, no una fixture concreta.</w:t>
            </w:r>
          </w:p>
        </w:tc>
        <w:tc>
          <w:tcPr>
            <w:tcW w:type="dxa" w:w="27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Live-first, fallback explícito.</w:t>
            </w:r>
          </w:p>
        </w:tc>
      </w:tr>
    </w:tbl>
    <w:p>
      <w:pPr>
        <w:spacing w:after="40"/>
      </w:pPr>
    </w:p>
    <w:p>
      <w:pPr>
        <w:keepNext w:val="0"/>
        <w:spacing w:before="0" w:after="0" w:line="264" w:lineRule="auto"/>
      </w:pPr>
      <w:r>
        <w:rPr>
          <w:rFonts w:ascii="Arial" w:hAnsi="Arial" w:eastAsia="Arial"/>
          <w:b/>
          <w:i w:val="0"/>
          <w:color w:val="293740"/>
          <w:sz w:val="22"/>
        </w:rPr>
        <w:t>Por qué una sola app:</w:t>
      </w:r>
      <w:r>
        <w:rPr>
          <w:rFonts w:ascii="Arial" w:hAnsi="Arial" w:eastAsia="Arial"/>
          <w:b w:val="0"/>
          <w:i w:val="0"/>
          <w:color w:val="293740"/>
          <w:sz w:val="22"/>
        </w:rPr>
        <w:t xml:space="preserve"> para la hackathon, Next.js reduce despliegues, secretos, CORS y puntos de falla. El schema Python de comunidades queda como referencia o herramienta batch; no se invoca desde un request web.</w:t>
      </w:r>
    </w:p>
    <w:p>
      <w:r>
        <w:br w:type="page"/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008C8C"/>
          <w:sz w:val="18"/>
        </w:rPr>
        <w:t>03  ALGORITMO DE BÚSQUEDA</w:t>
      </w:r>
    </w:p>
    <w:p>
      <w:pPr>
        <w:pStyle w:val="Heading1"/>
      </w:pPr>
      <w:r>
        <w:t>Una respuesta explicable, no un chat que improvisa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La IA puede ayudar a encontrar documentos, pero el ranking debe ser determinista y auditable. Cada razón mostrada en el drawer debe referenciar evidencia concreta.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2500"/>
        <w:gridCol w:w="6240"/>
      </w:tblGrid>
      <w:tr>
        <w:trPr>
          <w:tblHeader w:val="true"/>
          <w:cantSplit/>
        </w:trPr>
        <w:tc>
          <w:tcPr>
            <w:tcW w:type="dxa" w:w="62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50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624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Implementación mañana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1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Interpretar consulta</w:t>
            </w:r>
          </w:p>
        </w:tc>
        <w:tc>
          <w:tcPr>
            <w:tcW w:type="dxa" w:w="6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Objetivo y presupuesto con parser actual; aliases técnicos en tabla local.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2</w:t>
            </w:r>
          </w:p>
        </w:tc>
        <w:tc>
          <w:tcPr>
            <w:tcW w:type="dxa" w:w="25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Elegir candidatos</w:t>
            </w:r>
          </w:p>
        </w:tc>
        <w:tc>
          <w:tcPr>
            <w:tcW w:type="dxa" w:w="624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Seis mercados seed; no afirmar cobertura mundial si sólo se evaluaron seis.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3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Buscar evidencia</w:t>
            </w:r>
          </w:p>
        </w:tc>
        <w:tc>
          <w:tcPr>
            <w:tcW w:type="dxa" w:w="6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3-4 consultas Exa en paralelo: demanda, eventos/comunidades y competencia por ciudad.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4</w:t>
            </w:r>
          </w:p>
        </w:tc>
        <w:tc>
          <w:tcPr>
            <w:tcW w:type="dxa" w:w="25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Unir señales</w:t>
            </w:r>
          </w:p>
        </w:tc>
        <w:tc>
          <w:tcPr>
            <w:tcW w:type="dxa" w:w="624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Eventos y comunidades en storage + métricas GitHub/X precalculadas.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5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Normalizar</w:t>
            </w:r>
          </w:p>
        </w:tc>
        <w:tc>
          <w:tcPr>
            <w:tcW w:type="dxa" w:w="6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URL canónica, dedupe, fecha, ciudad, tipo, rights basis y confianza.</w:t>
            </w:r>
          </w:p>
        </w:tc>
      </w:tr>
      <w:tr>
        <w:trPr>
          <w:cantSplit/>
        </w:trPr>
        <w:tc>
          <w:tcPr>
            <w:tcW w:type="dxa" w:w="62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6</w:t>
            </w:r>
          </w:p>
        </w:tc>
        <w:tc>
          <w:tcPr>
            <w:tcW w:type="dxa" w:w="25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Rankear</w:t>
            </w:r>
          </w:p>
        </w:tc>
        <w:tc>
          <w:tcPr>
            <w:tcW w:type="dxa" w:w="624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Score ponderado; razones construidas desde métricas y evidenceIds.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7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Responder</w:t>
            </w:r>
          </w:p>
        </w:tc>
        <w:tc>
          <w:tcPr>
            <w:tcW w:type="dxa" w:w="6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SearchResponse con cobertura, warnings y timestamps.</w:t>
            </w:r>
          </w:p>
        </w:tc>
      </w:tr>
    </w:tbl>
    <w:p>
      <w:pPr>
        <w:spacing w:after="40"/>
      </w:pPr>
    </w:p>
    <w:p>
      <w:pPr>
        <w:pStyle w:val="Heading2"/>
      </w:pPr>
      <w:r>
        <w:t>Consultas Exa mínimas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Intención</w:t>
            </w:r>
          </w:p>
        </w:tc>
        <w:tc>
          <w:tcPr>
            <w:tcW w:type="dxa" w:w="746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Plantilla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Demanda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{topic} problems OR alternatives {city}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Eventos</w:t>
            </w:r>
          </w:p>
        </w:tc>
        <w:tc>
          <w:tcPr>
            <w:tcW w:type="dxa" w:w="746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{topic} hackathon OR meetup OR developer event {city}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Comunidades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{topic} developer community {city}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Competencia</w:t>
            </w:r>
          </w:p>
        </w:tc>
        <w:tc>
          <w:tcPr>
            <w:tcW w:type="dxa" w:w="746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{category} sponsor OR partner {city}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210" w:type="dxa"/>
              <w:bottom w:w="150" w:type="dxa"/>
              <w:end w:w="190" w:type="dxa"/>
            </w:tcMar>
            <w:shd w:fill="E8F7F6"/>
            <w:tcBorders>
              <w:top w:val="nil"/>
              <w:start w:val="single" w:sz="26" w:space="0" w:color="008C8C"/>
              <w:bottom w:val="nil"/>
              <w:end w:val="nil"/>
            </w:tcBorders>
            <w:vAlign w:val="center"/>
          </w:tcPr>
          <w:p>
            <w:pPr>
              <w:keepNext w:val="0"/>
              <w:spacing w:before="0" w:after="8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22"/>
              </w:rPr>
              <w:t>Política de fallos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20"/>
              </w:rPr>
              <w:t>Si Exa falla, responder con cache + eventos. Si una fuente individual falla, devolver warning y bajar la confianza. Sólo si la ruta completa falla se usa demo-adapter, marcado como fallback.</w:t>
            </w:r>
          </w:p>
        </w:tc>
      </w:tr>
    </w:tbl>
    <w:p>
      <w:pPr>
        <w:spacing w:after="40"/>
      </w:pPr>
    </w:p>
    <w:p>
      <w:pPr>
        <w:pStyle w:val="Heading2"/>
      </w:pPr>
      <w:r>
        <w:t>Caché recomendado</w:t>
      </w:r>
    </w:p>
    <w:p>
      <w:pPr>
        <w:keepNext w:val="0"/>
        <w:spacing w:before="0" w:after="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Hash de topic + objective + candidate markets, TTL de 6 horas. Además de bajar costos, permite repetir una demo sin depender de latencia externa.</w:t>
      </w:r>
    </w:p>
    <w:p>
      <w:r>
        <w:br w:type="page"/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008C8C"/>
          <w:sz w:val="18"/>
        </w:rPr>
        <w:t>04  SERVICIOS Y PRESUPUESTO</w:t>
      </w:r>
    </w:p>
    <w:p>
      <w:pPr>
        <w:pStyle w:val="Heading1"/>
      </w:pPr>
      <w:r>
        <w:t>Pagar sólo donde elimina una limitación real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300"/>
        <w:gridCol w:w="1900"/>
        <w:gridCol w:w="2710"/>
      </w:tblGrid>
      <w:tr>
        <w:trPr>
          <w:tblHeader w:val="true"/>
          <w:cantSplit/>
        </w:trPr>
        <w:tc>
          <w:tcPr>
            <w:tcW w:type="dxa" w:w="145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Servicio</w:t>
            </w:r>
          </w:p>
        </w:tc>
        <w:tc>
          <w:tcPr>
            <w:tcW w:type="dxa" w:w="330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Uso elegido</w:t>
            </w:r>
          </w:p>
        </w:tc>
        <w:tc>
          <w:tcPr>
            <w:tcW w:type="dxa" w:w="190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Cuándo corre</w:t>
            </w:r>
          </w:p>
        </w:tc>
        <w:tc>
          <w:tcPr>
            <w:tcW w:type="dxa" w:w="271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Decisión de gasto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Exa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Descubrimiento web, highlights y evidencia reciente.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En vivo, 3-4 queries.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Usar créditos incluidos; cap de $10-20.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Apify</w:t>
            </w:r>
          </w:p>
        </w:tc>
        <w:tc>
          <w:tcPr>
            <w:tcW w:type="dxa" w:w="33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Precargar eventos públicos de Luma por ciudad/categoría.</w:t>
            </w:r>
          </w:p>
        </w:tc>
        <w:tc>
          <w:tcPr>
            <w:tcW w:type="dxa" w:w="19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Batch, antes de la demo.</w:t>
            </w:r>
          </w:p>
        </w:tc>
        <w:tc>
          <w:tcPr>
            <w:tcW w:type="dxa" w:w="27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Free $5. Comprar Starter sólo tras smoke test.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GitHub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Actividad técnica agregada por tema y región.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Batch.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API oficial gratuita con token.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Supabase</w:t>
            </w:r>
          </w:p>
        </w:tc>
        <w:tc>
          <w:tcPr>
            <w:tcW w:type="dxa" w:w="33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Storage, evidencia, caché y timestamps.</w:t>
            </w:r>
          </w:p>
        </w:tc>
        <w:tc>
          <w:tcPr>
            <w:tcW w:type="dxa" w:w="19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Lectura live / escritura batch.</w:t>
            </w:r>
          </w:p>
        </w:tc>
        <w:tc>
          <w:tcPr>
            <w:tcW w:type="dxa" w:w="27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Free tier.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X API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Counts-first para volumen relativo; posts sólo si hacen falta.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Batch opcional.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$5-10 opcionales; no actor no oficial.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OpenAI/LLM</w:t>
            </w:r>
          </w:p>
        </w:tc>
        <w:tc>
          <w:tcPr>
            <w:tcW w:type="dxa" w:w="33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Opcional: aliases, clasificación o resumen estructurado.</w:t>
            </w:r>
          </w:p>
        </w:tc>
        <w:tc>
          <w:tcPr>
            <w:tcW w:type="dxa" w:w="19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Después del retrieval.</w:t>
            </w:r>
          </w:p>
        </w:tc>
        <w:tc>
          <w:tcPr>
            <w:tcW w:type="dxa" w:w="27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No bloquear el MVP por esto.</w:t>
            </w:r>
          </w:p>
        </w:tc>
      </w:tr>
    </w:tbl>
    <w:p>
      <w:pPr>
        <w:spacing w:after="40"/>
      </w:pPr>
    </w:p>
    <w:p>
      <w:pPr>
        <w:pStyle w:val="Heading2"/>
      </w:pPr>
      <w:r>
        <w:t>Costo aproximado por búsqueda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Con precios públicos actuales de Exa, cuatro búsquedas normales cuestan aproximadamente $0.028; recuperar 20 páginas con un tipo de contenido agrega aproximadamente $0.020. Una consulta completa queda cerca de $0.05 antes de caché. Es suficiente para una hackathon.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8C8C"/>
                <w:sz w:val="32"/>
              </w:rPr>
              <w:t>$0.05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EXA / SEARCH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Estimación conservadora sin caché.</w:t>
            </w:r>
          </w:p>
        </w:tc>
        <w:tc>
          <w:tcPr>
            <w:tcW w:type="dxa" w:w="312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8C8C"/>
                <w:sz w:val="32"/>
              </w:rPr>
              <w:t>$5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APIFY FREE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Crédito para validar el actor.</w:t>
            </w:r>
          </w:p>
        </w:tc>
        <w:tc>
          <w:tcPr>
            <w:tcW w:type="dxa" w:w="312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008C8C"/>
                <w:sz w:val="32"/>
              </w:rPr>
              <w:t>$0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DB + GITHUB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3727A"/>
                <w:sz w:val="16"/>
              </w:rPr>
              <w:t>Free tiers para el MVP.</w:t>
            </w:r>
          </w:p>
        </w:tc>
      </w:tr>
    </w:tbl>
    <w:p>
      <w:pPr>
        <w:spacing w:after="40"/>
      </w:pPr>
    </w:p>
    <w:p>
      <w:pPr>
        <w:pStyle w:val="Heading2"/>
      </w:pPr>
      <w:r>
        <w:t>Reglas de compra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Ejecutar un smoke test de 20 eventos del actor Luma. Verificar campos, duplicados, latencia y costo real.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No comprar Apify Starter de $29 hasta que el actor supere esa prueba.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Configurar límites de gasto y nunca exponer tokens al cliente.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Aplicar luego al grant de Exa para startups/educación; no es requisito para mañana.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210" w:type="dxa"/>
              <w:bottom w:w="150" w:type="dxa"/>
              <w:end w:w="190" w:type="dxa"/>
            </w:tcMar>
            <w:shd w:fill="FDEEEE"/>
            <w:tcBorders>
              <w:top w:val="nil"/>
              <w:start w:val="single" w:sz="26" w:space="0" w:color="B33A3A"/>
              <w:bottom w:val="nil"/>
              <w:end w:val="nil"/>
            </w:tcBorders>
            <w:vAlign w:val="center"/>
          </w:tcPr>
          <w:p>
            <w:pPr>
              <w:keepNext w:val="0"/>
              <w:spacing w:before="0" w:after="8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22"/>
              </w:rPr>
              <w:t>Decisión sobre X y LinkedIn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20"/>
              </w:rPr>
              <w:t>X prohíbe scraping/crawling sin consentimiento previo en sus términos actuales. Usar la API oficial o dejar la integración fuera. LinkedIn tampoco debe ser una dependencia del MVP.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008C8C"/>
          <w:sz w:val="18"/>
        </w:rPr>
        <w:t>05  DATOS, SCORE Y CONFIANZA</w:t>
      </w:r>
    </w:p>
    <w:p>
      <w:pPr>
        <w:pStyle w:val="Heading1"/>
      </w:pPr>
      <w:r>
        <w:t>Sólo puntuar lo que puede justificarse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El pitch apunta a costo por desarrollador activado y retenido. Esa será la métrica final, pero no puede estimarse honestamente mañana sin datos de campañas y activación del cliente. El MVP debe rankear oportunidad, no inventar ROI.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850"/>
        <w:gridCol w:w="3310"/>
        <w:gridCol w:w="3250"/>
      </w:tblGrid>
      <w:tr>
        <w:trPr>
          <w:tblHeader w:val="true"/>
          <w:cantSplit/>
        </w:trPr>
        <w:tc>
          <w:tcPr>
            <w:tcW w:type="dxa" w:w="195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85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Peso</w:t>
            </w:r>
          </w:p>
        </w:tc>
        <w:tc>
          <w:tcPr>
            <w:tcW w:type="dxa" w:w="331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Evidencia aceptable</w:t>
            </w:r>
          </w:p>
        </w:tc>
        <w:tc>
          <w:tcPr>
            <w:tcW w:type="dxa" w:w="325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Qué no hacer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6"/>
              </w:rPr>
              <w:t>Demand signal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30%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Documentos recientes, discusiones, trends/counts agregados.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Contar resultados de búsqueda como demanda absoluta.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6"/>
              </w:rPr>
              <w:t>Developer fit</w:t>
            </w:r>
          </w:p>
        </w:tc>
        <w:tc>
          <w:tcPr>
            <w:tcW w:type="dxa" w:w="8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25%</w:t>
            </w:r>
          </w:p>
        </w:tc>
        <w:tc>
          <w:tcPr>
            <w:tcW w:type="dxa" w:w="33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GitHub agregado, lenguajes, repos y comunidades técnicas.</w:t>
            </w:r>
          </w:p>
        </w:tc>
        <w:tc>
          <w:tcPr>
            <w:tcW w:type="dxa" w:w="32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Perfilar personas o inferir ubicación como certeza.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6"/>
              </w:rPr>
              <w:t>Event/community readiness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25%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Eventos futuros, cadencia, tamaño y organizadores.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Inventar premios, sponsors o asistencia.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6"/>
              </w:rPr>
              <w:t>Sponsor/competition gap</w:t>
            </w:r>
          </w:p>
        </w:tc>
        <w:tc>
          <w:tcPr>
            <w:tcW w:type="dxa" w:w="8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10%</w:t>
            </w:r>
          </w:p>
        </w:tc>
        <w:tc>
          <w:tcPr>
            <w:tcW w:type="dxa" w:w="33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Presencia observada de competidores/sponsors.</w:t>
            </w:r>
          </w:p>
        </w:tc>
        <w:tc>
          <w:tcPr>
            <w:tcW w:type="dxa" w:w="32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Interpretar ausencia web como ausencia total.</w:t>
            </w:r>
          </w:p>
        </w:tc>
      </w:tr>
      <w:tr>
        <w:trPr>
          <w:cantSplit/>
        </w:trPr>
        <w:tc>
          <w:tcPr>
            <w:tcW w:type="dxa" w:w="1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6"/>
              </w:rPr>
              <w:t>Data confidence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10%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Cobertura, frescura, concordancia y geo confidence.</w:t>
            </w:r>
          </w:p>
        </w:tc>
        <w:tc>
          <w:tcPr>
            <w:tcW w:type="dxa" w:w="3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Mostrar “100% global” por evaluar seis ciudades.</w:t>
            </w:r>
          </w:p>
        </w:tc>
      </w:tr>
    </w:tbl>
    <w:p>
      <w:pPr>
        <w:spacing w:after="40"/>
      </w:pPr>
    </w:p>
    <w:p>
      <w:pPr>
        <w:pStyle w:val="Heading2"/>
      </w:pPr>
      <w:r>
        <w:t>Contrato de evidencia mínimo</w:t>
      </w:r>
    </w:p>
    <w:p>
      <w:pPr>
        <w:keepNext w:val="0"/>
        <w:spacing w:before="0" w:after="140" w:line="240" w:lineRule="auto"/>
      </w:pPr>
      <w:r>
        <w:rPr>
          <w:rFonts w:ascii="Arial" w:hAnsi="Arial" w:eastAsia="Arial"/>
          <w:b w:val="0"/>
          <w:i w:val="0"/>
          <w:color w:val="293740"/>
          <w:sz w:val="19"/>
        </w:rPr>
        <w:t>id · source · url · title · observedAt · location · confidence · rightsBasis · kind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Toda razón del ranking contiene evidenceIds. El drawer resuelve esos IDs y muestra links. Los campos inferidos llevan confianza; los campos preparados llevan status prepared.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210" w:type="dxa"/>
              <w:bottom w:w="150" w:type="dxa"/>
              <w:end w:w="190" w:type="dxa"/>
            </w:tcMar>
            <w:shd w:fill="FFF5DD"/>
            <w:tcBorders>
              <w:top w:val="nil"/>
              <w:start w:val="single" w:sz="26" w:space="0" w:color="C98200"/>
              <w:bottom w:val="nil"/>
              <w:end w:val="nil"/>
            </w:tcBorders>
            <w:vAlign w:val="center"/>
          </w:tcPr>
          <w:p>
            <w:pPr>
              <w:keepNext w:val="0"/>
              <w:spacing w:before="0" w:after="8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22"/>
              </w:rPr>
              <w:t>Regla de oro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20"/>
              </w:rPr>
              <w:t>Si el dato de costo no existe, mostrar “No disponible” o “Estimado” y excluirlo del score. La confianza del producto vale más que una métrica llamativa.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008C8C"/>
          <w:sz w:val="18"/>
        </w:rPr>
        <w:t>06  ESTRUCTURA DEL PROYECTO</w:t>
      </w:r>
    </w:p>
    <w:p>
      <w:pPr>
        <w:pStyle w:val="Heading1"/>
      </w:pPr>
      <w:r>
        <w:t>Ordenar por responsabilidad, sin crear otro backend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Cambio</w:t>
            </w:r>
          </w:p>
        </w:tc>
        <w:tc>
          <w:tcPr>
            <w:tcW w:type="dxa" w:w="756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Acción concreta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Contrato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Mover gradualmente lib/api/types.ts a lib/contracts/atlas.ts; compartirlo entre UI y route.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Cliente</w:t>
            </w:r>
          </w:p>
        </w:tc>
        <w:tc>
          <w:tcPr>
            <w:tcW w:type="dxa" w:w="756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Agregar searchOpportunities() live-first en atlas-client.ts; fallback al demo adapter.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UI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selectedCityId: string; drawer, campaña y signal cloud reciben Opportunity.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Comunidades</w:t>
            </w:r>
          </w:p>
        </w:tc>
        <w:tc>
          <w:tcPr>
            <w:tcW w:type="dxa" w:w="756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Exportar registros revisados del schema Python a JSON seed. No ejecutar Python desde Next.js.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Repositorios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Interfaz única con implementaciones Supabase y fixture; el pipeline no conoce el storage concreto.</w:t>
            </w:r>
          </w:p>
        </w:tc>
      </w:tr>
    </w:tbl>
    <w:p>
      <w:pPr>
        <w:spacing w:after="40"/>
      </w:pPr>
    </w:p>
    <w:p>
      <w:pPr>
        <w:pStyle w:val="Heading2"/>
      </w:pPr>
      <w:r>
        <w:t>Estructura objetivo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>interactive-world-map/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app/api/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opportunities/search/route.ts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events/ingest/route.ts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lib/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contracts/atlas.ts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client/atlas-client.ts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server/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  pipeline/search-opportunities.ts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  query/interpret-query.ts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  connectors/{exa,github,apify,x-counts}.ts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  normalize/{event,community,evidence,location}.ts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  scoring/opportunity-score.ts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  repositories/{repository,supabase,fixture}.ts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  cache/search-cache.ts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  demo/fixtures.ts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data/seed/{cities,events,communities,github-signals}.json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scripts/{ingest-luma,ingest-github,review-communities}.ts</w:t>
      </w:r>
    </w:p>
    <w:p>
      <w:pPr>
        <w:keepNext w:val="0"/>
        <w:spacing w:before="0" w:after="0" w:line="240" w:lineRule="auto"/>
      </w:pPr>
      <w:r>
        <w:rPr>
          <w:rFonts w:ascii="Courier New" w:hAnsi="Courier New" w:eastAsia="Courier New"/>
          <w:b w:val="0"/>
          <w:i w:val="0"/>
          <w:color w:val="293740"/>
          <w:sz w:val="16"/>
        </w:rPr>
        <w:t xml:space="preserve">  tests/{contracts,scoring,api}/</w:t>
      </w:r>
    </w:p>
    <w:p>
      <w:pPr>
        <w:pStyle w:val="Heading2"/>
      </w:pPr>
      <w:r>
        <w:t>Variables de entorno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EXA_API_KEY · APIFY_TOKEN · GITHUB_TOKEN · SUPABASE_URL · SUPABASE_SERVICE_ROLE_KEY · X_BEARER_TOKEN (optional)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210" w:type="dxa"/>
              <w:bottom w:w="150" w:type="dxa"/>
              <w:end w:w="190" w:type="dxa"/>
            </w:tcMar>
            <w:shd w:fill="E8F7F6"/>
            <w:tcBorders>
              <w:top w:val="nil"/>
              <w:start w:val="single" w:sz="26" w:space="0" w:color="008C8C"/>
              <w:bottom w:val="nil"/>
              <w:end w:val="nil"/>
            </w:tcBorders>
            <w:vAlign w:val="center"/>
          </w:tcPr>
          <w:p>
            <w:pPr>
              <w:keepNext w:val="0"/>
              <w:spacing w:before="0" w:after="8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22"/>
              </w:rPr>
              <w:t>Compatibilidad con el trabajo de comunidades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20"/>
              </w:rPr>
              <w:t>Conservar los campos valiosos del schema actual: candidate vs community, manualReviewRequired, rightsBasis, evidenceUrl, canonicalUrl y geo confidence. Portar sólo el DTO de lectura al frontend.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008C8C"/>
          <w:sz w:val="18"/>
        </w:rPr>
        <w:t>07  PLAN DE IMPLEMENTACIÓN</w:t>
      </w:r>
    </w:p>
    <w:p>
      <w:pPr>
        <w:pStyle w:val="Heading1"/>
      </w:pPr>
      <w:r>
        <w:t>Orden de trabajo para llegar a una demo completa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50"/>
        <w:gridCol w:w="2800"/>
        <w:gridCol w:w="2310"/>
      </w:tblGrid>
      <w:tr>
        <w:trPr>
          <w:tblHeader w:val="true"/>
          <w:cantSplit/>
        </w:trPr>
        <w:tc>
          <w:tcPr>
            <w:tcW w:type="dxa" w:w="120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Bloque</w:t>
            </w:r>
          </w:p>
        </w:tc>
        <w:tc>
          <w:tcPr>
            <w:tcW w:type="dxa" w:w="305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Backend / datos</w:t>
            </w:r>
          </w:p>
        </w:tc>
        <w:tc>
          <w:tcPr>
            <w:tcW w:type="dxa" w:w="280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Frontend / integración</w:t>
            </w:r>
          </w:p>
        </w:tc>
        <w:tc>
          <w:tcPr>
            <w:tcW w:type="dxa" w:w="231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Hecho cuando...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6"/>
              </w:rPr>
              <w:t>A · 90 min</w:t>
            </w:r>
          </w:p>
        </w:tc>
        <w:tc>
          <w:tcPr>
            <w:tcW w:type="dxa" w:w="3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Ruta search, Exa connector, timeout y schema validation.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Cliente live-first con fallback.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Una query devuelve SearchResponse.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6"/>
              </w:rPr>
              <w:t>B · 90 min</w:t>
            </w:r>
          </w:p>
        </w:tc>
        <w:tc>
          <w:tcPr>
            <w:tcW w:type="dxa" w:w="30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Seeds: 6 ciudades, 3 eventos verificados, 10-20 comunidades.</w:t>
            </w:r>
          </w:p>
        </w:tc>
        <w:tc>
          <w:tcPr>
            <w:tcW w:type="dxa" w:w="28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Rail y markers usan oportunidades reales.</w:t>
            </w:r>
          </w:p>
        </w:tc>
        <w:tc>
          <w:tcPr>
            <w:tcW w:type="dxa" w:w="23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Los tres resultados abren sin DemoCity.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6"/>
              </w:rPr>
              <w:t>C · 120 min</w:t>
            </w:r>
          </w:p>
        </w:tc>
        <w:tc>
          <w:tcPr>
            <w:tcW w:type="dxa" w:w="3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Normalizer, dedupe, confidence y evidence IDs.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Drawer, campaign y signal cloud desde Opportunity.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Cada razón enlaza evidencia.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6"/>
              </w:rPr>
              <w:t>D · 60 min</w:t>
            </w:r>
          </w:p>
        </w:tc>
        <w:tc>
          <w:tcPr>
            <w:tcW w:type="dxa" w:w="30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Smoke test Apify + snapshot; batch GitHub básico.</w:t>
            </w:r>
          </w:p>
        </w:tc>
        <w:tc>
          <w:tcPr>
            <w:tcW w:type="dxa" w:w="28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Badges Observed/Estimated/Prepared.</w:t>
            </w:r>
          </w:p>
        </w:tc>
        <w:tc>
          <w:tcPr>
            <w:tcW w:type="dxa" w:w="23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Una fuente real alimenta el mapa.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6"/>
              </w:rPr>
              <w:t>E · 60 min</w:t>
            </w:r>
          </w:p>
        </w:tc>
        <w:tc>
          <w:tcPr>
            <w:tcW w:type="dxa" w:w="3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Cache, logs, env guard y respuesta parcial.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Copy honesto y estados de error.</w:t>
            </w:r>
          </w:p>
        </w:tc>
        <w:tc>
          <w:tcPr>
            <w:tcW w:type="dxa" w:w="2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Demo funciona sin una API externa.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6"/>
              </w:rPr>
              <w:t>F · 60 min</w:t>
            </w:r>
          </w:p>
        </w:tc>
        <w:tc>
          <w:tcPr>
            <w:tcW w:type="dxa" w:w="30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Tests de contract, score y Luma parser.</w:t>
            </w:r>
          </w:p>
        </w:tc>
        <w:tc>
          <w:tcPr>
            <w:tcW w:type="dxa" w:w="28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Build, lint, teclado, responsive y demo run.</w:t>
            </w:r>
          </w:p>
        </w:tc>
        <w:tc>
          <w:tcPr>
            <w:tcW w:type="dxa" w:w="231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6"/>
              </w:rPr>
              <w:t>Checklist de aceptación completo.</w:t>
            </w:r>
          </w:p>
        </w:tc>
      </w:tr>
    </w:tbl>
    <w:p>
      <w:pPr>
        <w:spacing w:after="40"/>
      </w:pPr>
    </w:p>
    <w:p>
      <w:pPr>
        <w:pStyle w:val="Heading2"/>
      </w:pPr>
      <w:r>
        <w:t>P0 - obligatorio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Ruta real, Exa connector, storage adapter y fallback.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Eliminar dependencia de DemoCity en la ruta principal.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Evidencia, cobertura y labels honestos.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Cache + timeout + variables de entorno protegidas.</w:t>
      </w:r>
    </w:p>
    <w:p>
      <w:pPr>
        <w:pStyle w:val="Heading2"/>
      </w:pPr>
      <w:r>
        <w:t>P1 - si P0 ya está estable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Apify batch con resultados normalizados.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GitHub agregado y X counts oficial opcional.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Supabase; conservar siempre snapshot JSON.</w:t>
      </w:r>
    </w:p>
    <w:p>
      <w:pPr>
        <w:pStyle w:val="Heading2"/>
      </w:pPr>
      <w:r>
        <w:t>No hacer antes de la demo</w:t>
      </w:r>
    </w:p>
    <w:p>
      <w:pPr>
        <w:keepNext w:val="0"/>
        <w:spacing w:before="0" w:after="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No migrar todo el frontend, no crear microservicios, no entrenar modelos, no construir un crawler propio y no sumar nuevas categorías de consumo. Cada una aumenta superficie de fallo sin mejorar la historia central.</w:t>
      </w:r>
    </w:p>
    <w:p>
      <w:r>
        <w:br w:type="page"/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008C8C"/>
          <w:sz w:val="18"/>
        </w:rPr>
        <w:t>08  ACEPTACIÓN Y DEMO</w:t>
      </w:r>
    </w:p>
    <w:p>
      <w:pPr>
        <w:pStyle w:val="Heading1"/>
      </w:pPr>
      <w:r>
        <w:t>La app está lista cuando puede defender cada resultado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746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Aceptación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Search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Consulta arbitraria devuelve 3 mercados en 8 s o menos; si hay fallos, devuelve parcial.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Evidencia</w:t>
            </w:r>
          </w:p>
        </w:tc>
        <w:tc>
          <w:tcPr>
            <w:tcW w:type="dxa" w:w="746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Cada razón tiene fuente clickeable, fecha, tipo y confianza.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Cobertura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La UI dice cuántos mercados/fuentes evaluó; no afirma cobertura global falsa.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Métricas</w:t>
            </w:r>
          </w:p>
        </w:tc>
        <w:tc>
          <w:tcPr>
            <w:tcW w:type="dxa" w:w="746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No hay ROI, costo o sponsor inventado; lo estimado está marcado.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Resiliencia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Fallback local completo y caché disponible sin Exa/Apify.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8"/>
              </w:rPr>
              <w:t>Calidad</w:t>
            </w:r>
          </w:p>
        </w:tc>
        <w:tc>
          <w:tcPr>
            <w:tcW w:type="dxa" w:w="746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8"/>
              </w:rPr>
              <w:t>Build y lint correctos, sin errores de consola; flujo usable con teclado.</w:t>
            </w:r>
          </w:p>
        </w:tc>
      </w:tr>
    </w:tbl>
    <w:p>
      <w:pPr>
        <w:spacing w:after="40"/>
      </w:pPr>
    </w:p>
    <w:p>
      <w:pPr>
        <w:pStyle w:val="Heading2"/>
      </w:pPr>
      <w:r>
        <w:t>Guion de 75 segundos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050"/>
        <w:gridCol w:w="5160"/>
      </w:tblGrid>
      <w:tr>
        <w:trPr>
          <w:tblHeader w:val="true"/>
          <w:cantSplit/>
        </w:trPr>
        <w:tc>
          <w:tcPr>
            <w:tcW w:type="dxa" w:w="115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Tiempo</w:t>
            </w:r>
          </w:p>
        </w:tc>
        <w:tc>
          <w:tcPr>
            <w:tcW w:type="dxa" w:w="305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Acción</w:t>
            </w:r>
          </w:p>
        </w:tc>
        <w:tc>
          <w:tcPr>
            <w:tcW w:type="dxa" w:w="5160"/>
            <w:shd w:fill="101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Mensaje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0-15 s</w:t>
            </w:r>
          </w:p>
        </w:tc>
        <w:tc>
          <w:tcPr>
            <w:tcW w:type="dxa" w:w="3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Escribir producto, objetivo y presupuesto.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“Las empresas no saben dónde su próximo dólar de developer growth rendirá más.”</w:t>
            </w:r>
          </w:p>
        </w:tc>
      </w:tr>
      <w:tr>
        <w:trPr>
          <w:cantSplit/>
        </w:trPr>
        <w:tc>
          <w:tcPr>
            <w:tcW w:type="dxa" w:w="11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15-35 s</w:t>
            </w:r>
          </w:p>
        </w:tc>
        <w:tc>
          <w:tcPr>
            <w:tcW w:type="dxa" w:w="30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Mapa anima y rankea tres mercados.</w:t>
            </w:r>
          </w:p>
        </w:tc>
        <w:tc>
          <w:tcPr>
            <w:tcW w:type="dxa" w:w="516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“Combinamos demanda pública, actividad técnica, eventos y comunidades.”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35-60 s</w:t>
            </w:r>
          </w:p>
        </w:tc>
        <w:tc>
          <w:tcPr>
            <w:tcW w:type="dxa" w:w="3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Abrir #1 y recorrer evidencia.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“El score es explicable; cada señal tiene fuente y confianza.”</w:t>
            </w:r>
          </w:p>
        </w:tc>
      </w:tr>
      <w:tr>
        <w:trPr>
          <w:cantSplit/>
        </w:trPr>
        <w:tc>
          <w:tcPr>
            <w:tcW w:type="dxa" w:w="11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60-75 s</w:t>
            </w:r>
          </w:p>
        </w:tc>
        <w:tc>
          <w:tcPr>
            <w:tcW w:type="dxa" w:w="305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Mostrar campaña sugerida y cobertura.</w:t>
            </w:r>
          </w:p>
        </w:tc>
        <w:tc>
          <w:tcPr>
            <w:tcW w:type="dxa" w:w="5160"/>
            <w:vAlign w:val="center"/>
            <w:shd w:fill="F5F8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17"/>
              </w:rPr>
              <w:t>“Hoy elegimos mejor; mañana medimos activación y retención.”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210" w:type="dxa"/>
              <w:bottom w:w="150" w:type="dxa"/>
              <w:end w:w="190" w:type="dxa"/>
            </w:tcMar>
            <w:shd w:fill="E8F7F6"/>
            <w:tcBorders>
              <w:top w:val="nil"/>
              <w:start w:val="single" w:sz="26" w:space="0" w:color="008C8C"/>
              <w:bottom w:val="nil"/>
              <w:end w:val="nil"/>
            </w:tcBorders>
            <w:vAlign w:val="center"/>
          </w:tcPr>
          <w:p>
            <w:pPr>
              <w:keepNext w:val="0"/>
              <w:spacing w:before="0" w:after="8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22"/>
              </w:rPr>
              <w:t>Definición final del MVP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293740"/>
                <w:sz w:val="20"/>
              </w:rPr>
              <w:t>GrowXth es un motor de developer growth intelligence. Para una empresa y un objetivo, identifica mercados, eventos y comunidades prometedoras y explica la recomendación con evidencia verificable.</w:t>
            </w:r>
          </w:p>
        </w:tc>
      </w:tr>
    </w:tbl>
    <w:p>
      <w:pPr>
        <w:spacing w:after="40"/>
      </w:pPr>
    </w:p>
    <w:p>
      <w:pPr>
        <w:pStyle w:val="Heading2"/>
      </w:pPr>
      <w:r>
        <w:t>Después de la hackathon</w:t>
      </w:r>
    </w:p>
    <w:p>
      <w:pPr>
        <w:keepNext w:val="0"/>
        <w:spacing w:before="0" w:after="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Conectar datos privados de activación/retención, reemplazar seeds por pipelines programados, ampliar ciudades e idiomas y aprender del resultado de campañas. Ese historial - no el scraping aislado - es el moat.</w:t>
      </w:r>
    </w:p>
    <w:p>
      <w:r>
        <w:br w:type="page"/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/>
          <w:i w:val="0"/>
          <w:color w:val="008C8C"/>
          <w:sz w:val="18"/>
        </w:rPr>
        <w:t>09  FUENTES Y TRAZABILIDAD</w:t>
      </w:r>
    </w:p>
    <w:p>
      <w:pPr>
        <w:pStyle w:val="Heading1"/>
      </w:pPr>
      <w:r>
        <w:t>Referencias usadas para la decisión</w:t>
      </w:r>
    </w:p>
    <w:p>
      <w:pPr>
        <w:keepNext w:val="0"/>
        <w:spacing w:before="0" w:after="12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Precios y restricciones consultados el 23 de julio de 2026. Antes de un lanzamiento comercial, revisar nuevamente precios, términos y licencias de cada proveedor.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fill="1018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Fuente</w:t>
            </w:r>
          </w:p>
        </w:tc>
        <w:tc>
          <w:tcPr>
            <w:tcW w:type="dxa" w:w="6460"/>
            <w:shd w:fill="10182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URL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[1] Exa API pricing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13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https://exa.ai/pricing?tab=api</w:t>
              </w:r>
            </w:hyperlink>
          </w:p>
        </w:tc>
      </w:tr>
      <w:tr>
        <w:trPr>
          <w:cantSplit/>
        </w:trPr>
        <w:tc>
          <w:tcPr>
            <w:tcW w:type="dxa" w:w="290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[2] Exa Search API</w:t>
            </w:r>
          </w:p>
        </w:tc>
        <w:tc>
          <w:tcPr>
            <w:tcW w:type="dxa" w:w="646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14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https://exa.ai/docs/reference/search</w:t>
              </w:r>
            </w:hyperlink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[3] Exa Contents API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15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https://exa.ai/docs/reference/contents-retrieval</w:t>
              </w:r>
            </w:hyperlink>
          </w:p>
        </w:tc>
      </w:tr>
      <w:tr>
        <w:trPr>
          <w:cantSplit/>
        </w:trPr>
        <w:tc>
          <w:tcPr>
            <w:tcW w:type="dxa" w:w="290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[4] Apify pricing</w:t>
            </w:r>
          </w:p>
        </w:tc>
        <w:tc>
          <w:tcPr>
            <w:tcW w:type="dxa" w:w="646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16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https://apify.com/pricing</w:t>
              </w:r>
            </w:hyperlink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[5] Apify Actor API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17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https://docs.apify.com/academy/api/run-actor-and-retrieve-data-via-api</w:t>
              </w:r>
            </w:hyperlink>
          </w:p>
        </w:tc>
      </w:tr>
      <w:tr>
        <w:trPr>
          <w:cantSplit/>
        </w:trPr>
        <w:tc>
          <w:tcPr>
            <w:tcW w:type="dxa" w:w="290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[6] Luma Scraper actor</w:t>
            </w:r>
          </w:p>
        </w:tc>
        <w:tc>
          <w:tcPr>
            <w:tcW w:type="dxa" w:w="646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18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https://apify.com/solidcode/luma-scraper</w:t>
              </w:r>
            </w:hyperlink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[7] X API pricing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19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https://docs.x.com/x-api/getting-started/pricing</w:t>
              </w:r>
            </w:hyperlink>
          </w:p>
        </w:tc>
      </w:tr>
      <w:tr>
        <w:trPr>
          <w:cantSplit/>
        </w:trPr>
        <w:tc>
          <w:tcPr>
            <w:tcW w:type="dxa" w:w="290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[8] X Terms of Service</w:t>
            </w:r>
          </w:p>
        </w:tc>
        <w:tc>
          <w:tcPr>
            <w:tcW w:type="dxa" w:w="646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20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https://x.com/en/tos</w:t>
              </w:r>
            </w:hyperlink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[9] GitHub REST rate limits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21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https://docs.github.com/en/rest/using-the-rest-api/rate-limits-for-the-rest-api</w:t>
              </w:r>
            </w:hyperlink>
          </w:p>
        </w:tc>
      </w:tr>
      <w:tr>
        <w:trPr>
          <w:cantSplit/>
        </w:trPr>
        <w:tc>
          <w:tcPr>
            <w:tcW w:type="dxa" w:w="290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[10] GitHub Innovation Graph methodology</w:t>
            </w:r>
          </w:p>
        </w:tc>
        <w:tc>
          <w:tcPr>
            <w:tcW w:type="dxa" w:w="646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22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https://innovationgraph.github.com/methodology</w:t>
              </w:r>
            </w:hyperlink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[11] Supabase pricing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23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https://supabase.com/pricing</w:t>
              </w:r>
            </w:hyperlink>
          </w:p>
        </w:tc>
      </w:tr>
      <w:tr>
        <w:trPr>
          <w:cantSplit/>
        </w:trPr>
        <w:tc>
          <w:tcPr>
            <w:tcW w:type="dxa" w:w="290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[12] Luma API</w:t>
            </w:r>
          </w:p>
        </w:tc>
        <w:tc>
          <w:tcPr>
            <w:tcW w:type="dxa" w:w="6460"/>
            <w:shd w:fill="F5F8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24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https://help.luma.com/p/luma-api</w:t>
              </w:r>
            </w:hyperlink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01820"/>
                <w:sz w:val="17"/>
              </w:rPr>
              <w:t>[13] Luma Terms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space="0" w:color="D9E1E4"/>
              <w:start w:val="single" w:sz="5" w:space="0" w:color="D9E1E4"/>
              <w:bottom w:val="single" w:sz="5" w:space="0" w:color="D9E1E4"/>
              <w:end w:val="single" w:sz="5" w:space="0" w:color="D9E1E4"/>
            </w:tcBorders>
          </w:tcPr>
          <w:p>
            <w:pPr>
              <w:keepNext w:val="0"/>
              <w:spacing w:before="0" w:after="0" w:line="240" w:lineRule="auto"/>
            </w:pPr>
            <w:hyperlink r:id="rId25">
              <w:r>
                <w:rPr>
                  <w:rFonts w:ascii="Arial" w:hAnsi="Arial"/>
                  <w:color w:val="008C8C"/>
                  <w:u w:val="single"/>
                  <w:sz w:val="18"/>
                </w:rPr>
                <w:t>https://luma.com/terms</w:t>
              </w:r>
            </w:hyperlink>
          </w:p>
        </w:tc>
      </w:tr>
    </w:tbl>
    <w:p>
      <w:pPr>
        <w:spacing w:after="40"/>
      </w:pPr>
    </w:p>
    <w:p>
      <w:pPr>
        <w:pStyle w:val="Heading2"/>
      </w:pPr>
      <w:r>
        <w:t>Archivos auditados con mayor impacto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interactive-world-map/lib/api/types.ts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interactive-world-map/lib/api/demo-adapter.ts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interactive-world-map/lib/api/atlas-client.ts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interactive-world-map/app/api/events/ingest/route.ts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interactive-world-map/lib/api/luma.ts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interactive-world-map/components/atlas/atlas-shell.tsx</w:t>
      </w:r>
    </w:p>
    <w:p>
      <w:pPr>
        <w:keepNext w:val="0"/>
        <w:numPr>
          <w:ilvl w:val="0"/>
          <w:numId w:val="10"/>
        </w:numPr>
        <w:spacing w:before="0" w:after="80" w:line="280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sf-community-map/schema.py</w:t>
      </w:r>
    </w:p>
    <w:p>
      <w:pPr>
        <w:keepNext w:val="0"/>
        <w:spacing w:before="0" w:after="0" w:line="264" w:lineRule="auto"/>
      </w:pPr>
      <w:r>
        <w:rPr>
          <w:rFonts w:ascii="Arial" w:hAnsi="Arial" w:eastAsia="Arial"/>
          <w:b w:val="0"/>
          <w:i w:val="0"/>
          <w:color w:val="293740"/>
          <w:sz w:val="22"/>
        </w:rPr>
        <w:t>Documento generado a partir del pitch final, la codebase actual, pruebas locales y documentación oficial. La arquitectura prioriza una demo profesional y una migración limpia hacia datos reales.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/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7000"/>
      <w:gridCol w:w="2360"/>
    </w:tblGrid>
    <w:tr>
      <w:trPr>
        <w:cantSplit/>
      </w:trPr>
      <w:tc>
        <w:tcPr>
          <w:tcW w:type="dxa" w:w="700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start w:val="nil"/>
            <w:bottom w:val="nil"/>
            <w:end w:val="nil"/>
          </w:tcBorders>
        </w:tcPr>
        <w:p>
          <w:pPr>
            <w:keepNext w:val="0"/>
            <w:spacing w:before="0" w:after="0" w:line="240" w:lineRule="auto"/>
            <w:jc w:val="left"/>
          </w:pPr>
          <w:r>
            <w:rPr>
              <w:rFonts w:ascii="Arial" w:hAnsi="Arial" w:eastAsia="Arial"/>
              <w:b w:val="0"/>
              <w:i w:val="0"/>
              <w:color w:val="63727A"/>
              <w:sz w:val="16"/>
            </w:rPr>
            <w:t>Hackathon build plan - 24 July 2026</w:t>
          </w:r>
        </w:p>
      </w:tc>
      <w:tc>
        <w:tcPr>
          <w:tcW w:type="dxa" w:w="236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start w:val="nil"/>
            <w:bottom w:val="nil"/>
            <w:end w:val="nil"/>
          </w:tcBorders>
        </w:tcPr>
        <w:p>
          <w:pPr>
            <w:keepNext w:val="0"/>
            <w:spacing w:before="0" w:after="0" w:line="240" w:lineRule="auto"/>
            <w:jc w:val="right"/>
          </w:pPr>
          <w:r>
            <w:rPr>
              <w:rFonts w:ascii="Arial" w:hAnsi="Arial"/>
              <w:color w:val="63727A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/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7000"/>
      <w:gridCol w:w="2360"/>
    </w:tblGrid>
    <w:tr>
      <w:trPr>
        <w:cantSplit/>
      </w:trPr>
      <w:tc>
        <w:tcPr>
          <w:tcW w:type="dxa" w:w="700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start w:val="nil"/>
            <w:bottom w:val="nil"/>
            <w:end w:val="nil"/>
          </w:tcBorders>
        </w:tcPr>
        <w:p>
          <w:pPr>
            <w:keepNext w:val="0"/>
            <w:spacing w:before="0" w:after="0" w:line="240" w:lineRule="auto"/>
            <w:jc w:val="left"/>
          </w:pPr>
          <w:r>
            <w:rPr>
              <w:rFonts w:ascii="Arial" w:hAnsi="Arial" w:eastAsia="Arial"/>
              <w:b w:val="0"/>
              <w:i w:val="0"/>
              <w:color w:val="63727A"/>
              <w:sz w:val="16"/>
            </w:rPr>
            <w:t>Hackathon build plan - 24 July 2026</w:t>
          </w:r>
        </w:p>
      </w:tc>
      <w:tc>
        <w:tcPr>
          <w:tcW w:type="dxa" w:w="236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start w:val="nil"/>
            <w:bottom w:val="nil"/>
            <w:end w:val="nil"/>
          </w:tcBorders>
        </w:tcPr>
        <w:p>
          <w:pPr>
            <w:keepNext w:val="0"/>
            <w:spacing w:before="0" w:after="0" w:line="240" w:lineRule="auto"/>
            <w:jc w:val="right"/>
          </w:pPr>
          <w:r>
            <w:rPr>
              <w:rFonts w:ascii="Arial" w:hAnsi="Arial"/>
              <w:color w:val="63727A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dxa" w:w="9360"/>
      <w:tblLayout w:type="fixed"/>
      <w:tblLook w:firstColumn="1" w:firstRow="1" w:lastColumn="0" w:lastRow="0" w:noHBand="0" w:noVBand="1" w:val="04A0"/>
      <w:tblInd w:w="0" w:type="dxa"/>
    </w:tblPr>
    <w:tblGrid>
      <w:gridCol w:w="4680"/>
      <w:gridCol w:w="4680"/>
    </w:tblGrid>
    <w:tr>
      <w:trPr>
        <w:cantSplit/>
      </w:trP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start w:val="nil"/>
            <w:bottom w:val="nil"/>
            <w:end w:val="nil"/>
          </w:tcBorders>
        </w:tcPr>
        <w:p>
          <w:pPr>
            <w:keepNext w:val="0"/>
            <w:spacing w:before="0" w:after="0" w:line="240" w:lineRule="auto"/>
            <w:jc w:val="left"/>
          </w:pPr>
          <w:r>
            <w:rPr>
              <w:rFonts w:ascii="Arial" w:hAnsi="Arial" w:eastAsia="Arial"/>
              <w:b/>
              <w:i w:val="0"/>
              <w:color w:val="101820"/>
              <w:sz w:val="17"/>
            </w:rPr>
            <w:t>GrowXth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start w:val="nil"/>
            <w:bottom w:val="nil"/>
            <w:end w:val="nil"/>
          </w:tcBorders>
        </w:tcPr>
        <w:p>
          <w:pPr>
            <w:keepNext w:val="0"/>
            <w:spacing w:before="0" w:after="0" w:line="240" w:lineRule="auto"/>
            <w:jc w:val="right"/>
          </w:pPr>
          <w:r>
            <w:rPr>
              <w:rFonts w:ascii="Arial" w:hAnsi="Arial" w:eastAsia="Arial"/>
              <w:b w:val="0"/>
              <w:i w:val="0"/>
              <w:color w:val="63727A"/>
              <w:sz w:val="16"/>
            </w:rPr>
            <w:t>Backend Search Implementation Plan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/>
        <w:color w:val="008C8C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2937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018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8C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exa.ai/pricing?tab=api" TargetMode="External"/><Relationship Id="rId14" Type="http://schemas.openxmlformats.org/officeDocument/2006/relationships/hyperlink" Target="https://exa.ai/docs/reference/search" TargetMode="External"/><Relationship Id="rId15" Type="http://schemas.openxmlformats.org/officeDocument/2006/relationships/hyperlink" Target="https://exa.ai/docs/reference/contents-retrieval" TargetMode="External"/><Relationship Id="rId16" Type="http://schemas.openxmlformats.org/officeDocument/2006/relationships/hyperlink" Target="https://apify.com/pricing" TargetMode="External"/><Relationship Id="rId17" Type="http://schemas.openxmlformats.org/officeDocument/2006/relationships/hyperlink" Target="https://docs.apify.com/academy/api/run-actor-and-retrieve-data-via-api" TargetMode="External"/><Relationship Id="rId18" Type="http://schemas.openxmlformats.org/officeDocument/2006/relationships/hyperlink" Target="https://apify.com/solidcode/luma-scraper" TargetMode="External"/><Relationship Id="rId19" Type="http://schemas.openxmlformats.org/officeDocument/2006/relationships/hyperlink" Target="https://docs.x.com/x-api/getting-started/pricing" TargetMode="External"/><Relationship Id="rId20" Type="http://schemas.openxmlformats.org/officeDocument/2006/relationships/hyperlink" Target="https://x.com/en/tos" TargetMode="External"/><Relationship Id="rId21" Type="http://schemas.openxmlformats.org/officeDocument/2006/relationships/hyperlink" Target="https://docs.github.com/en/rest/using-the-rest-api/rate-limits-for-the-rest-api" TargetMode="External"/><Relationship Id="rId22" Type="http://schemas.openxmlformats.org/officeDocument/2006/relationships/hyperlink" Target="https://innovationgraph.github.com/methodology" TargetMode="External"/><Relationship Id="rId23" Type="http://schemas.openxmlformats.org/officeDocument/2006/relationships/hyperlink" Target="https://supabase.com/pricing" TargetMode="External"/><Relationship Id="rId24" Type="http://schemas.openxmlformats.org/officeDocument/2006/relationships/hyperlink" Target="https://help.luma.com/p/luma-api" TargetMode="External"/><Relationship Id="rId25" Type="http://schemas.openxmlformats.org/officeDocument/2006/relationships/hyperlink" Target="https://luma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GrowXth Backend Search Implementation Plan</dc:title>
  <dc:subject>Hackathon backend architecture and implementation plan</dc:subject>
  <dc:creator>GrowXth</dc:creator>
  <cp:keywords>GrowXth, backend, Exa, Apify, hackathon,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