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95"/>
        <w:gridCol w:w="5256"/>
        <w:gridCol w:w="8813"/>
      </w:tblGrid>
      <w:tr>
        <w:trPr>
          <w:cantSplit/>
          <w:tblHeader/>
        </w:trPr>
        <w:tc>
          <w:tcPr>
            <w:tcW w:type="dxa" w:w="1195"/>
            <w:vAlign w:val="center"/>
            <w:tcMar>
              <w:top w:w="110" w:type="dxa"/>
              <w:left w:w="110" w:type="dxa"/>
              <w:bottom w:w="110" w:type="dxa"/>
              <w:right w:w="110" w:type="dxa"/>
            </w:tcMar>
            <w:shd w:fill="233F4A"/>
            <w:tcBorders>
              <w:top w:val="single" w:sz="4" w:color="D9D9D9"/>
              <w:left w:val="single" w:sz="4" w:color="D9D9D9"/>
              <w:bottom w:val="single" w:sz="4" w:color="D9D9D9"/>
              <w:right w:val="single" w:sz="4" w:color="D9D9D9"/>
            </w:tcBorders>
          </w:tcPr>
          <w:p>
            <w:pPr>
              <w:jc w:val="center"/>
            </w:pPr>
            <w:r>
              <w:rPr>
                <w:b/>
                <w:color w:val="FFFFFF"/>
              </w:rPr>
              <w:t>Time · 110 sec</w:t>
            </w:r>
          </w:p>
        </w:tc>
        <w:tc>
          <w:tcPr>
            <w:tcW w:type="dxa" w:w="5256"/>
            <w:vAlign w:val="center"/>
            <w:tcMar>
              <w:top w:w="110" w:type="dxa"/>
              <w:left w:w="110" w:type="dxa"/>
              <w:bottom w:w="110" w:type="dxa"/>
              <w:right w:w="110" w:type="dxa"/>
            </w:tcMar>
            <w:shd w:fill="233F4A"/>
            <w:tcBorders>
              <w:top w:val="single" w:sz="4" w:color="D9D9D9"/>
              <w:left w:val="single" w:sz="4" w:color="D9D9D9"/>
              <w:bottom w:val="single" w:sz="4" w:color="D9D9D9"/>
              <w:right w:val="single" w:sz="4" w:color="D9D9D9"/>
            </w:tcBorders>
          </w:tcPr>
          <w:p>
            <w:r>
              <w:rPr>
                <w:b/>
                <w:color w:val="FFFFFF"/>
              </w:rPr>
              <w:t>Exact action</w:t>
            </w:r>
          </w:p>
        </w:tc>
        <w:tc>
          <w:tcPr>
            <w:tcW w:type="dxa" w:w="8813"/>
            <w:vAlign w:val="center"/>
            <w:tcMar>
              <w:top w:w="110" w:type="dxa"/>
              <w:left w:w="110" w:type="dxa"/>
              <w:bottom w:w="110" w:type="dxa"/>
              <w:right w:w="110" w:type="dxa"/>
            </w:tcMar>
            <w:shd w:fill="233F4A"/>
            <w:tcBorders>
              <w:top w:val="single" w:sz="4" w:color="D9D9D9"/>
              <w:left w:val="single" w:sz="4" w:color="D9D9D9"/>
              <w:bottom w:val="single" w:sz="4" w:color="D9D9D9"/>
              <w:right w:val="single" w:sz="4" w:color="D9D9D9"/>
            </w:tcBorders>
          </w:tcPr>
          <w:p>
            <w:r>
              <w:rPr>
                <w:b/>
                <w:color w:val="FFFFFF"/>
              </w:rPr>
              <w:t>Say in English</w:t>
            </w:r>
          </w:p>
        </w:tc>
      </w:tr>
      <w:tr>
        <w:trPr>
          <w:cantSplit/>
        </w:trPr>
        <w:tc>
          <w:tcPr>
            <w:tcW w:type="dxa" w:w="1195"/>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pPr>
              <w:jc w:val="center"/>
            </w:pPr>
            <w:r>
              <w:rPr>
                <w:b w:val="0"/>
                <w:color w:val="000000"/>
              </w:rPr>
              <w:t>0:00–0:15</w:t>
            </w:r>
          </w:p>
        </w:tc>
        <w:tc>
          <w:tcPr>
            <w:tcW w:type="dxa" w:w="5256"/>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r>
              <w:rPr>
                <w:b w:val="0"/>
                <w:color w:val="000000"/>
              </w:rPr>
              <w:t>Open the saved comparison. Show Edit brief with the CloudLaunch fields filled in before recording.</w:t>
            </w:r>
          </w:p>
          <w:p>
            <w:pPr>
              <w:spacing w:before="60"/>
            </w:pPr>
            <w:hyperlink r:id="rId9">
              <w:r>
                <w:rPr>
                  <w:color w:val="215E83"/>
                </w:rPr>
                <w:t>Open saved comparison</w:t>
              </w:r>
            </w:hyperlink>
          </w:p>
        </w:tc>
        <w:tc>
          <w:tcPr>
            <w:tcW w:type="dxa" w:w="8813"/>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r>
              <w:rPr>
                <w:b w:val="0"/>
                <w:color w:val="000000"/>
              </w:rPr>
              <w:t>Hi, I'm Julian. CloudLaunch is a fictional cloud platform that helps developers deploy projects without managing servers. Its goal is adoption: help ten developers launch a working project and collect feedback.</w:t>
            </w:r>
          </w:p>
        </w:tc>
      </w:tr>
      <w:tr>
        <w:trPr>
          <w:cantSplit/>
        </w:trPr>
        <w:tc>
          <w:tcPr>
            <w:tcW w:type="dxa" w:w="1195"/>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pPr>
              <w:jc w:val="center"/>
            </w:pPr>
            <w:r>
              <w:rPr>
                <w:b w:val="0"/>
                <w:color w:val="000000"/>
              </w:rPr>
              <w:t>0:15–0:32</w:t>
            </w:r>
          </w:p>
        </w:tc>
        <w:tc>
          <w:tcPr>
            <w:tcW w:type="dxa" w:w="5256"/>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r>
              <w:rPr>
                <w:b w:val="0"/>
                <w:color w:val="000000"/>
              </w:rPr>
              <w:t>Show the USD 20,000 budget and September 11–December 31 window. Save through Edit brief and compare again.</w:t>
            </w:r>
          </w:p>
        </w:tc>
        <w:tc>
          <w:tcPr>
            <w:tcW w:type="dxa" w:w="8813"/>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r>
              <w:rPr>
                <w:b w:val="0"/>
                <w:color w:val="000000"/>
              </w:rPr>
              <w:t>I'm applying this brief to two events with evidence already saved: Agents, Everywhere and The Agent Arena. This creates a new evaluation and preserves the previous one. This is not a new live search.</w:t>
            </w:r>
          </w:p>
        </w:tc>
      </w:tr>
      <w:tr>
        <w:trPr>
          <w:cantSplit/>
        </w:trPr>
        <w:tc>
          <w:tcPr>
            <w:tcW w:type="dxa" w:w="1195"/>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pPr>
              <w:jc w:val="center"/>
            </w:pPr>
            <w:r>
              <w:rPr>
                <w:b w:val="0"/>
                <w:color w:val="000000"/>
              </w:rPr>
              <w:t>0:32–0:52</w:t>
            </w:r>
          </w:p>
        </w:tc>
        <w:tc>
          <w:tcPr>
            <w:tcW w:type="dxa" w:w="5256"/>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r>
              <w:rPr>
                <w:b w:val="0"/>
                <w:color w:val="000000"/>
              </w:rPr>
              <w:t>Under Agents, Everywhere, open Inspect evidence, then Background, proposed activity and cost → View background evidence. Point to the source.</w:t>
            </w:r>
          </w:p>
        </w:tc>
        <w:tc>
          <w:tcPr>
            <w:tcW w:type="dxa" w:w="8813"/>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r>
              <w:rPr>
                <w:b w:val="0"/>
                <w:color w:val="000000"/>
              </w:rPr>
              <w:t>AI Tinkerers previously announced a program about monitoring, auditing, and recovery for agents. This gives us a concrete starting point for questions. It does not establish demand for CloudLaunch or prove attendance, completed projects, or adoption.</w:t>
            </w:r>
          </w:p>
        </w:tc>
      </w:tr>
      <w:tr>
        <w:trPr>
          <w:cantSplit/>
        </w:trPr>
        <w:tc>
          <w:tcPr>
            <w:tcW w:type="dxa" w:w="1195"/>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pPr>
              <w:jc w:val="center"/>
            </w:pPr>
            <w:r>
              <w:rPr>
                <w:b w:val="0"/>
                <w:color w:val="000000"/>
              </w:rPr>
              <w:t>0:52–1:10</w:t>
            </w:r>
          </w:p>
        </w:tc>
        <w:tc>
          <w:tcPr>
            <w:tcW w:type="dxa" w:w="5256"/>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r>
              <w:rPr>
                <w:b w:val="0"/>
                <w:color w:val="000000"/>
              </w:rPr>
              <w:t>Return to the comparison. Show What to investigate first, cost uncertainties and participation conditions.</w:t>
            </w:r>
          </w:p>
        </w:tc>
        <w:tc>
          <w:tcPr>
            <w:tcW w:type="dxa" w:w="8813"/>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r>
              <w:rPr>
                <w:b w:val="0"/>
                <w:color w:val="000000"/>
              </w:rPr>
              <w:t>The comparison keeps gaps visible. We still need to confirm audience fit, whether demonstrations or deployment support are allowed, and the complete cost. A result showing insufficient evidence is useful: it tells us what to investigate next.</w:t>
            </w:r>
          </w:p>
        </w:tc>
      </w:tr>
      <w:tr>
        <w:trPr>
          <w:cantSplit/>
        </w:trPr>
        <w:tc>
          <w:tcPr>
            <w:tcW w:type="dxa" w:w="1195"/>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pPr>
              <w:jc w:val="center"/>
            </w:pPr>
            <w:r>
              <w:rPr>
                <w:b w:val="0"/>
                <w:color w:val="000000"/>
              </w:rPr>
              <w:t>1:10–1:30</w:t>
            </w:r>
          </w:p>
        </w:tc>
        <w:tc>
          <w:tcPr>
            <w:tcW w:type="dxa" w:w="5256"/>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r>
              <w:rPr>
                <w:b w:val="0"/>
                <w:color w:val="000000"/>
              </w:rPr>
              <w:t>Open the decision form, prepared before recording: Explore first; owner Developer Relations team; proposed demonstration and optional deployment support; open questions. Click Save decision.</w:t>
            </w:r>
          </w:p>
        </w:tc>
        <w:tc>
          <w:tcPr>
            <w:tcW w:type="dxa" w:w="8813"/>
            <w:vAlign w:val="center"/>
            <w:tcMar>
              <w:top w:w="110" w:type="dxa"/>
              <w:left w:w="110" w:type="dxa"/>
              <w:bottom w:w="110" w:type="dxa"/>
              <w:right w:w="110" w:type="dxa"/>
            </w:tcMar>
            <w:shd w:fill="FFFFFF"/>
            <w:tcBorders>
              <w:top w:val="single" w:sz="4" w:color="D9D9D9"/>
              <w:left w:val="single" w:sz="4" w:color="D9D9D9"/>
              <w:bottom w:val="single" w:sz="4" w:color="D9D9D9"/>
              <w:right w:val="single" w:sz="4" w:color="D9D9D9"/>
            </w:tcBorders>
          </w:tcPr>
          <w:p>
            <w:r>
              <w:rPr>
                <w:b w:val="0"/>
                <w:color w:val="000000"/>
              </w:rPr>
              <w:t>I'll save Explore first, with our reasons, a proposed demonstration, and optional deployment support. These are our team's proposals, not confirmed event offerings. The decision keeps the owner, next questions, and unresolved participation costs together.</w:t>
            </w:r>
          </w:p>
        </w:tc>
      </w:tr>
      <w:tr>
        <w:trPr>
          <w:cantSplit/>
        </w:trPr>
        <w:tc>
          <w:tcPr>
            <w:tcW w:type="dxa" w:w="1195"/>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pPr>
              <w:jc w:val="center"/>
            </w:pPr>
            <w:r>
              <w:rPr>
                <w:b w:val="0"/>
                <w:color w:val="000000"/>
              </w:rPr>
              <w:t>1:30–1:50</w:t>
            </w:r>
          </w:p>
        </w:tc>
        <w:tc>
          <w:tcPr>
            <w:tcW w:type="dxa" w:w="5256"/>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r>
              <w:rPr>
                <w:b w:val="0"/>
                <w:color w:val="000000"/>
              </w:rPr>
              <w:t>Click Copy manual draft; paste into a blank document. Copy Internal link, close the brief tab, then reopen that exact link.</w:t>
            </w:r>
          </w:p>
        </w:tc>
        <w:tc>
          <w:tcPr>
            <w:tcW w:type="dxa" w:w="8813"/>
            <w:vAlign w:val="center"/>
            <w:tcMar>
              <w:top w:w="110" w:type="dxa"/>
              <w:left w:w="110" w:type="dxa"/>
              <w:bottom w:w="110" w:type="dxa"/>
              <w:right w:w="110" w:type="dxa"/>
            </w:tcMar>
            <w:shd w:fill="F1F5F6"/>
            <w:tcBorders>
              <w:top w:val="single" w:sz="4" w:color="D9D9D9"/>
              <w:left w:val="single" w:sz="4" w:color="D9D9D9"/>
              <w:bottom w:val="single" w:sz="4" w:color="D9D9D9"/>
              <w:right w:val="single" w:sz="4" w:color="D9D9D9"/>
            </w:tcBorders>
          </w:tcPr>
          <w:p>
            <w:r>
              <w:rPr>
                <w:b w:val="0"/>
                <w:color w:val="000000"/>
              </w:rPr>
              <w:t>Now I can copy the manual brief and reopen its saved revision. The evidence and decision remain connected. Saving sends nothing and commits no budget. Our next step is to confirm participation options before taking action.</w:t>
            </w:r>
          </w:p>
        </w:tc>
      </w:tr>
    </w:tbl>
    <w:sectPr w:rsidR="00FC693F" w:rsidRPr="0006063C" w:rsidSect="00034616">
      <w:pgSz w:w="16848" w:h="11952"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localhost:3000/?run=4a4ecf39-ffe5-4112-af4a-ffa6f5a916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CloudLaunch demo narration and clicks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