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Meridian ARR growth rate and net revenue retention: supplemental fictional report. The following table is the authoritative update for this browser regression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Meridian annual recurring revenue growth rate</w:t>
            </w:r>
          </w:p>
        </w:tc>
        <w:tc>
          <w:tcPr>
            <w:tcW w:type="dxa" w:w="4320"/>
          </w:tcPr>
          <w:p>
            <w:r>
              <w:t>42 percent</w:t>
            </w:r>
          </w:p>
        </w:tc>
      </w:tr>
      <w:tr>
        <w:tc>
          <w:tcPr>
            <w:tcW w:type="dxa" w:w="4320"/>
          </w:tcPr>
          <w:p>
            <w:r>
              <w:t>Net revenue retention</w:t>
            </w:r>
          </w:p>
        </w:tc>
        <w:tc>
          <w:tcPr>
            <w:tcW w:type="dxa" w:w="4320"/>
          </w:tcPr>
          <w:p>
            <w:r>
              <w:t>123 percent</w:t>
            </w:r>
          </w:p>
        </w:tc>
      </w:tr>
    </w:tbl>
    <w:p>
      <w:r>
        <w:t>The table above must remain between the introduction and this closing paragraph. Fixture marker: observatory-meridian-table.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End of public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Public demonstration fixture — no real financial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