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24"/>
          <w:szCs w:val="24"/>
        </w:rPr>
      </w:pPr>
      <w:bookmarkStart w:colFirst="0" w:colLast="0" w:name="_rxq5feifq7xl" w:id="0"/>
      <w:bookmarkEnd w:id="0"/>
      <w:r w:rsidDel="00000000" w:rsidR="00000000" w:rsidRPr="00000000">
        <w:rPr>
          <w:b w:val="1"/>
          <w:bCs w:val="1"/>
          <w:color w:val="3c78d8"/>
          <w:sz w:val="22"/>
          <w:szCs w:val="22"/>
          <w:rtl w:val="0"/>
        </w:rPr>
        <w:t xml:space="preserve">REQUERIMIENTOS FUNCIONALES EVALUADOS</w:t>
      </w:r>
      <w:r w:rsidDel="00000000" w:rsidR="00000000" w:rsidRPr="00000000">
        <w:rPr>
          <w:rtl w:val="0"/>
        </w:rPr>
      </w:r>
    </w:p>
    <w:p w:rsidR="00000000" w:rsidDel="00000000" w:rsidP="00000000" w:rsidRDefault="00000000" w:rsidRPr="00000000" w14:paraId="00000002">
      <w:pPr>
        <w:pStyle w:val="Heading2"/>
        <w:keepNext w:val="0"/>
        <w:keepLines w:val="0"/>
        <w:widowControl w:val="0"/>
        <w:spacing w:after="225" w:before="225" w:line="240" w:lineRule="auto"/>
        <w:rPr>
          <w:b w:val="1"/>
          <w:bCs w:val="1"/>
          <w:sz w:val="24"/>
          <w:szCs w:val="24"/>
        </w:rPr>
      </w:pPr>
      <w:r w:rsidDel="00000000" w:rsidR="00000000" w:rsidRPr="00000000">
        <w:rPr>
          <w:b w:val="1"/>
          <w:bCs w:val="1"/>
          <w:sz w:val="24"/>
          <w:szCs w:val="24"/>
          <w:rtl w:val="0"/>
        </w:rPr>
        <w:t xml:space="preserve">-RF20: Procesamiento en Pasarela de Pago (Checkout - Paso 3) (Prioridad: Alta)</w:t>
      </w:r>
    </w:p>
    <w:p w:rsidR="00000000" w:rsidDel="00000000" w:rsidP="00000000" w:rsidRDefault="00000000" w:rsidRPr="00000000" w14:paraId="00000003">
      <w:pPr>
        <w:widowControl w:val="0"/>
        <w:spacing w:line="240" w:lineRule="auto"/>
        <w:rPr/>
      </w:pPr>
      <w:r w:rsidDel="00000000" w:rsidR="00000000" w:rsidRPr="00000000">
        <w:rPr>
          <w:b w:val="1"/>
          <w:bCs w:val="1"/>
          <w:rtl w:val="0"/>
        </w:rPr>
        <w:t xml:space="preserve">Descripción:</w:t>
      </w:r>
      <w:r w:rsidDel="00000000" w:rsidR="00000000" w:rsidRPr="00000000">
        <w:rPr>
          <w:rtl w:val="0"/>
        </w:rPr>
        <w:t xml:space="preserve"> Al accionar el botón "Proceder al Pago", el sistema traicionará al tercer paso ("Pago"), conectando la orden con la pasarela de pagos correspondiente por el valor del "Total final". Al confirmarse el pago, se generará el número de pedido y se vaciará el carrito del usuario.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3d85c6" w:val="clear"/>
            <w:tcMar>
              <w:top w:w="120.0" w:type="dxa"/>
              <w:left w:w="120.0" w:type="dxa"/>
              <w:bottom w:w="120.0" w:type="dxa"/>
              <w:right w:w="12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Campo</w:t>
            </w:r>
          </w:p>
        </w:tc>
        <w:tc>
          <w:tcPr>
            <w:shd w:fill="3d85c6" w:val="clear"/>
            <w:tcMar>
              <w:top w:w="120.0" w:type="dxa"/>
              <w:left w:w="120.0" w:type="dxa"/>
              <w:bottom w:w="120.0" w:type="dxa"/>
              <w:right w:w="12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Descripción Técnica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ID y Nombre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Integración exitosa con pasarela de pagos y vaciado del carrito tras confirmación.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Precondiciones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1. Encontrarse en el Paso 2 con la orden confirmada.</w:t>
            </w:r>
          </w:p>
          <w:p w:rsidR="00000000" w:rsidDel="00000000" w:rsidP="00000000" w:rsidRDefault="00000000" w:rsidRPr="00000000" w14:paraId="0000000A">
            <w:pPr>
              <w:widowControl w:val="0"/>
              <w:spacing w:line="240" w:lineRule="auto"/>
              <w:rPr/>
            </w:pPr>
            <w:r w:rsidDel="00000000" w:rsidR="00000000" w:rsidRPr="00000000">
              <w:rPr>
                <w:rtl w:val="0"/>
              </w:rPr>
              <w:t xml:space="preserve">2. Conectividad habilitada con la API de la pasarela de pagos (Sandbox/Producción).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Datos de Prueba</w:t>
            </w:r>
          </w:p>
        </w:tc>
        <w:tc>
          <w:tcPr>
            <w:shd w:fill="auto" w:val="clear"/>
            <w:tcMar>
              <w:top w:w="120.0" w:type="dxa"/>
              <w:left w:w="120.0" w:type="dxa"/>
              <w:bottom w:w="120.0" w:type="dxa"/>
              <w:right w:w="12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 Selección de método de pago frecuente (ej. Nequi o PSE).</w:t>
            </w:r>
          </w:p>
          <w:p w:rsidR="00000000" w:rsidDel="00000000" w:rsidP="00000000" w:rsidRDefault="00000000" w:rsidRPr="00000000" w14:paraId="0000000D">
            <w:pPr>
              <w:widowControl w:val="0"/>
              <w:spacing w:line="240" w:lineRule="auto"/>
              <w:rPr/>
            </w:pPr>
            <w:r w:rsidDel="00000000" w:rsidR="00000000" w:rsidRPr="00000000">
              <w:rPr>
                <w:rtl w:val="0"/>
              </w:rPr>
              <w:t xml:space="preserve">• Transacción aprobada simulada.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Pasos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1. Hacer clic en "Proceder al Pago" desde la pantalla de confirmación.</w:t>
            </w:r>
          </w:p>
          <w:p w:rsidR="00000000" w:rsidDel="00000000" w:rsidP="00000000" w:rsidRDefault="00000000" w:rsidRPr="00000000" w14:paraId="00000010">
            <w:pPr>
              <w:widowControl w:val="0"/>
              <w:spacing w:line="240" w:lineRule="auto"/>
              <w:rPr/>
            </w:pPr>
            <w:r w:rsidDel="00000000" w:rsidR="00000000" w:rsidRPr="00000000">
              <w:rPr>
                <w:rtl w:val="0"/>
              </w:rPr>
              <w:t xml:space="preserve">2. Seleccionar medio de pago (Nequi/PSE) e ingresar credenciales de prueba.</w:t>
            </w:r>
          </w:p>
          <w:p w:rsidR="00000000" w:rsidDel="00000000" w:rsidP="00000000" w:rsidRDefault="00000000" w:rsidRPr="00000000" w14:paraId="00000011">
            <w:pPr>
              <w:widowControl w:val="0"/>
              <w:spacing w:line="240" w:lineRule="auto"/>
              <w:rPr/>
            </w:pPr>
            <w:r w:rsidDel="00000000" w:rsidR="00000000" w:rsidRPr="00000000">
              <w:rPr>
                <w:rtl w:val="0"/>
              </w:rPr>
              <w:t xml:space="preserve">3. Aprobar la transacción desde la pasarela.</w:t>
            </w:r>
          </w:p>
          <w:p w:rsidR="00000000" w:rsidDel="00000000" w:rsidP="00000000" w:rsidRDefault="00000000" w:rsidRPr="00000000" w14:paraId="00000012">
            <w:pPr>
              <w:widowControl w:val="0"/>
              <w:spacing w:line="240" w:lineRule="auto"/>
              <w:rPr/>
            </w:pPr>
            <w:r w:rsidDel="00000000" w:rsidR="00000000" w:rsidRPr="00000000">
              <w:rPr>
                <w:rtl w:val="0"/>
              </w:rPr>
              <w:t xml:space="preserve">4. Verificar el retorno a la plataforma de la tienda y revisar el estado del carrito.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Resultado Esperado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Redirección fluida hacia la pasarela. Tras la aprobación, el sistema de la tienda recibe el estado exitoso, notifica al cliente con un número de pedido y el icono del carrito vuelve a mostrar cero (0) artículos.</w:t>
            </w:r>
          </w:p>
        </w:tc>
      </w:tr>
    </w:tbl>
    <w:p w:rsidR="00000000" w:rsidDel="00000000" w:rsidP="00000000" w:rsidRDefault="00000000" w:rsidRPr="00000000" w14:paraId="00000015">
      <w:pPr>
        <w:widowControl w:val="0"/>
        <w:spacing w:line="240" w:lineRule="auto"/>
        <w:jc w:val="center"/>
        <w:rPr>
          <w:i w:val="1"/>
          <w:iCs w:val="1"/>
          <w:color w:val="808080"/>
        </w:rPr>
      </w:pPr>
      <w:r w:rsidDel="00000000" w:rsidR="00000000" w:rsidRPr="00000000">
        <w:rPr>
          <w:rtl w:val="0"/>
        </w:rPr>
      </w:r>
    </w:p>
    <w:p w:rsidR="00000000" w:rsidDel="00000000" w:rsidP="00000000" w:rsidRDefault="00000000" w:rsidRPr="00000000" w14:paraId="00000016">
      <w:pPr>
        <w:widowControl w:val="0"/>
        <w:spacing w:line="240" w:lineRule="auto"/>
        <w:rPr>
          <w:i w:val="1"/>
          <w:iCs w:val="1"/>
          <w:color w:val="80808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