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3D7595">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3D7595">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3D7595">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3D7595">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3D7595">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w:t>
      </w:r>
      <w:r>
        <w:t>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w:t>
      </w:r>
      <w:r>
        <w:t>emanda futura de productos y la optimización del inventario. Para lograr esto, no podemos limitarnos a un único cálculo matemático fijo, ya que dependiendo del tipo de producto, su historial de ventas o el comportamiento del mercado, se requiere utilizar d</w:t>
      </w:r>
      <w:r>
        <w:t>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w:t>
      </w:r>
      <w:r>
        <w:t xml:space="preserve">. En lugar de que el servicio de predicción o los controladores tengan que conocer y crear directamente cada clase matemática con sus configuraciones internas, el patrón nos proporciona una fábrica centralizada (ForecastStrategyFactory) encargada de crear </w:t>
      </w:r>
      <w:r>
        <w:t>e instanciar la familia de estrategias predictivas según el algoritmo solicitado. De esta manera, el resto de la aplicación interactúa únicamente con una abstracción común (ForecastStrategy), logrando que el sistema quede completamente desacoplado, sea más</w:t>
      </w:r>
      <w:r>
        <w:t xml:space="preserve">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w:t>
      </w:r>
      <w:r>
        <w:t xml:space="preserve">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 xml:space="preserve">Representa el producto abstracto dentro del </w:t>
      </w:r>
      <w:r>
        <w:t>patrón. Es la interfaz que define el contrato común que deben cumplir todos los modelos o algoritmos de predicción, en este caso a través del método forecast(history, periodsAhead). Gracias a esta abstracción, cualquier componente de la aplicación puede so</w:t>
      </w:r>
      <w:r>
        <w:t>licitar una estimación sin preocuparse por la fórmula matemática específica que se ejecutará por debajo.</w:t>
      </w:r>
    </w:p>
    <w:p w14:paraId="4A129ABA" w14:textId="77777777" w:rsidR="00F37DBB" w:rsidRPr="00A22914" w:rsidRDefault="003D7595">
      <w:pPr>
        <w:pStyle w:val="Ttulo5"/>
        <w:rPr>
          <w:lang w:val="en-US"/>
        </w:rPr>
      </w:pPr>
      <w:proofErr w:type="spellStart"/>
      <w:r w:rsidRPr="00A22914">
        <w:rPr>
          <w:lang w:val="en-US"/>
        </w:rPr>
        <w:t>MovingAverageForecastStrategy</w:t>
      </w:r>
      <w:proofErr w:type="spellEnd"/>
      <w:r w:rsidRPr="00A22914">
        <w:rPr>
          <w:lang w:val="en-US"/>
        </w:rPr>
        <w:t xml:space="preserve">, </w:t>
      </w:r>
      <w:proofErr w:type="spellStart"/>
      <w:r w:rsidRPr="00A22914">
        <w:rPr>
          <w:lang w:val="en-US"/>
        </w:rPr>
        <w:t>ExponentialSmoothingForecastStrategy</w:t>
      </w:r>
      <w:proofErr w:type="spellEnd"/>
      <w:r w:rsidRPr="00A22914">
        <w:rPr>
          <w:lang w:val="en-US"/>
        </w:rPr>
        <w:t xml:space="preserve"> y </w:t>
      </w:r>
      <w:proofErr w:type="spellStart"/>
      <w:r w:rsidRPr="00A22914">
        <w:rPr>
          <w:lang w:val="en-US"/>
        </w:rPr>
        <w:t>LinearRegressionForecastStrategy</w:t>
      </w:r>
      <w:proofErr w:type="spellEnd"/>
      <w:r w:rsidRPr="00A22914">
        <w:rPr>
          <w:lang w:val="en-US"/>
        </w:rPr>
        <w:t xml:space="preserve"> (</w:t>
      </w:r>
      <w:proofErr w:type="spellStart"/>
      <w:r w:rsidRPr="00A22914">
        <w:rPr>
          <w:lang w:val="en-US"/>
        </w:rPr>
        <w:t>Productos</w:t>
      </w:r>
      <w:proofErr w:type="spellEnd"/>
      <w:r w:rsidRPr="00A22914">
        <w:rPr>
          <w:lang w:val="en-US"/>
        </w:rPr>
        <w:t xml:space="preserve"> </w:t>
      </w:r>
      <w:proofErr w:type="spellStart"/>
      <w:r w:rsidRPr="00A22914">
        <w:rPr>
          <w:lang w:val="en-US"/>
        </w:rPr>
        <w:t>Concretos</w:t>
      </w:r>
      <w:proofErr w:type="spellEnd"/>
      <w:r w:rsidRPr="00A22914">
        <w:rPr>
          <w:lang w:val="en-US"/>
        </w:rPr>
        <w:t>)</w:t>
      </w:r>
    </w:p>
    <w:p w14:paraId="46C6B779" w14:textId="77777777" w:rsidR="00F37DBB" w:rsidRDefault="003D7595">
      <w:r>
        <w:t>Son las implementaciones c</w:t>
      </w:r>
      <w:r>
        <w:t>oncretas de la interfaz ForecastStrategy. Cada una de estas clases encapsula una lógica de cálculo matemático diferente sobre los datos históricos de inventario: promedio móvil simple para tendencias estables, suavizado exponencial ponderando periodos reci</w:t>
      </w:r>
      <w:r>
        <w:t>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w:t>
      </w:r>
      <w:r>
        <w:t>n. Contiene el método encargado de recibir el nombre o tipo de algoritmo deseado (por ejemplo LINEAR_REGRESSION, MOVING_AVERAGE o EXPONENTIAL_SMOOTHING) y crear e instanciar la estrategia correspondiente ya parametrizada. Si se envía un algoritmo no soport</w:t>
      </w:r>
      <w:r>
        <w: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w:t>
      </w:r>
      <w:r>
        <w:t>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w:t>
      </w:r>
      <w:r>
        <w:t>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w:t>
      </w:r>
      <w:r>
        <w:t xml:space="preserve">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w:t>
      </w:r>
      <w:r>
        <w:t>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w:t>
      </w:r>
      <w:r>
        <w:lastRenderedPageBreak/>
        <w:t xml:space="preserve">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sectPr w:rsidR="00A63171" w:rsidRPr="00A63171">
      <w:headerReference w:type="default" r:id="rId50"/>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0E863" w14:textId="77777777" w:rsidR="003D7595" w:rsidRDefault="003D7595">
      <w:pPr>
        <w:spacing w:after="0" w:line="240" w:lineRule="auto"/>
      </w:pPr>
      <w:r>
        <w:separator/>
      </w:r>
    </w:p>
  </w:endnote>
  <w:endnote w:type="continuationSeparator" w:id="0">
    <w:p w14:paraId="7C46BC43" w14:textId="77777777" w:rsidR="003D7595" w:rsidRDefault="003D75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73A06F" w14:textId="77777777" w:rsidR="003D7595" w:rsidRDefault="003D7595">
      <w:pPr>
        <w:spacing w:after="0" w:line="240" w:lineRule="auto"/>
      </w:pPr>
      <w:r>
        <w:separator/>
      </w:r>
    </w:p>
  </w:footnote>
  <w:footnote w:type="continuationSeparator" w:id="0">
    <w:p w14:paraId="75736773" w14:textId="77777777" w:rsidR="003D7595" w:rsidRDefault="003D75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86C62"/>
    <w:rsid w:val="001D6FA6"/>
    <w:rsid w:val="001E1638"/>
    <w:rsid w:val="001E4A4D"/>
    <w:rsid w:val="002216DF"/>
    <w:rsid w:val="002362A1"/>
    <w:rsid w:val="00241100"/>
    <w:rsid w:val="00254429"/>
    <w:rsid w:val="002F4228"/>
    <w:rsid w:val="00301242"/>
    <w:rsid w:val="00305003"/>
    <w:rsid w:val="00335D5B"/>
    <w:rsid w:val="003365DA"/>
    <w:rsid w:val="00336B2C"/>
    <w:rsid w:val="00340BCA"/>
    <w:rsid w:val="003A7D3F"/>
    <w:rsid w:val="003C2F58"/>
    <w:rsid w:val="003D1723"/>
    <w:rsid w:val="003D7595"/>
    <w:rsid w:val="00431861"/>
    <w:rsid w:val="00476318"/>
    <w:rsid w:val="004A6457"/>
    <w:rsid w:val="00525244"/>
    <w:rsid w:val="005437D2"/>
    <w:rsid w:val="005706B1"/>
    <w:rsid w:val="005857F5"/>
    <w:rsid w:val="0059218B"/>
    <w:rsid w:val="005D7990"/>
    <w:rsid w:val="006E63C2"/>
    <w:rsid w:val="007634CC"/>
    <w:rsid w:val="0078443A"/>
    <w:rsid w:val="007A2D1B"/>
    <w:rsid w:val="007B596C"/>
    <w:rsid w:val="007D6E33"/>
    <w:rsid w:val="007E04D9"/>
    <w:rsid w:val="0082339B"/>
    <w:rsid w:val="00853270"/>
    <w:rsid w:val="008A2699"/>
    <w:rsid w:val="008F1D4F"/>
    <w:rsid w:val="008F7ACE"/>
    <w:rsid w:val="009030B0"/>
    <w:rsid w:val="00906129"/>
    <w:rsid w:val="00954E1D"/>
    <w:rsid w:val="009D1518"/>
    <w:rsid w:val="009E10BC"/>
    <w:rsid w:val="00A073FA"/>
    <w:rsid w:val="00A22914"/>
    <w:rsid w:val="00A507EE"/>
    <w:rsid w:val="00A63171"/>
    <w:rsid w:val="00A85737"/>
    <w:rsid w:val="00AB28A1"/>
    <w:rsid w:val="00AB4471"/>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93223"/>
    <w:rsid w:val="00DE618A"/>
    <w:rsid w:val="00DF6FDA"/>
    <w:rsid w:val="00E5279B"/>
    <w:rsid w:val="00EA72A1"/>
    <w:rsid w:val="00EE6641"/>
    <w:rsid w:val="00EF36D5"/>
    <w:rsid w:val="00EF6B16"/>
    <w:rsid w:val="00F37DBB"/>
    <w:rsid w:val="00F61097"/>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1</Pages>
  <Words>5706</Words>
  <Characters>31388</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37020</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18</cp:revision>
  <dcterms:created xsi:type="dcterms:W3CDTF">2026-08-17T22:52:00Z</dcterms:created>
  <dcterms:modified xsi:type="dcterms:W3CDTF">2026-10-19T16:34:00Z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