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Author Statements for EID Submission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Ethics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study used aggregate, publicly available surveillance data at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level. No individual-level, clinical, address-level, or restricted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human-subject data were accessed. Institutional review was not required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secondary analysis of publicly available aggregate data.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Funding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external funding was received for this work.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Competing Interests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author declares no competing interests.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AI Disclosure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tools were used to assist with manuscript planning,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language editing, and pre-submission quality checks. No confidential 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nonpublic data were entered into AI tools. The author verified all analyses,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references, and claims and accepts responsibility for the final manuscript. No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AI-generated figures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Data and Code Availability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analysis code, processed public-data tables, data dictionaries,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reproducibility scripts are archived at https://doi.org/10.5281/zenodo.20150542.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Before final submission, this DOI must be verified against the final clean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archive version.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 data were obtained from: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ECDC Annual Epidemiological Reports (https://www.ecdc.europa.eu)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World Bank Open Data (https://data.worldbank.org)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FAOSTAT (https://www.fao.org/faostat)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TerraClimate (https://www.climatologylab.org/terraclimate.html)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Natural Earth (https://www.naturalearthdata.com)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individual-level, clinical, address-level, or restricted data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EID Author Checklist Reminder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EID Author Checklist should be completed during portal submission, including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chatbot/AI-use disclosure and image-manipulation attestations.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CRediT Author Contributions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Juan: Conceptualization, Data curation, Formal analysis, Investigation,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Methodology, Software, Validation, Visualization, Writing - original draft,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Writing - review and editing.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Biographical Sketch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 is an independent researcher interested in reproducible infectious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disease surveillance, probabilistic evaluation, and public-health modeling.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ORCID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0009-0003-7234-2245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Keywords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hantavirus; zoonoses; disease surveillance; European Union; European Economic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Area; probabilistic forecasting; calibration; public health surveillance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