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480" w:lineRule="exact"/>
        <w:jc w:val="left"/>
      </w:pPr>
      <w:r>
        <w:rPr>
          <w:rFonts w:ascii="Times New Roman" w:hAnsi="Times New Roman"/>
          <w:b/>
          <w:i w:val="0"/>
          <w:sz w:val="28"/>
        </w:rPr>
        <w:t>EID Manuscript — Full Draft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TITLE PAGE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Title: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Public Surveillance Benchmark for Reported Hantavirus Incidence, EU/EEA, 2019–2023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Running head: EU/EEA Hantavirus Surveillance Benchmark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Author: Julian Juan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Affiliation: Independent researcher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ORCID: 0009-0003-7234-2245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Corresponding author: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Julian Juan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Email: bubgaming3@gmail.com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Word count (abstract): 135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**Word count (text, excluding abstract, acknowledgments, references, tables,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figure legends):** ~3,350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One-sentence summary: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Simple surveillance-history baselines outperformed covariate-rich models,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underscoring limits of sparse annual public data for reported hantavirus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incidence.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Keywords: hantavirus; zoonoses; disease surveillance; EU/EEA; probabilistic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forecasting; calibration; public health communication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ABSTRACT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Public surveillance data are often invoked during attention to rare zoonoses,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but sparse annual reports may not support operational prediction. We created 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open benchmark for reported hantavirus incidence in EU/EEA countries, 2019–2023,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using ECDC Annual Epidemiological Report data linked to public demographic,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land-use, climate, and boundary data. Rebuilt annual totals matched ECDC exactly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across 142 country-years. We evaluated one-year-ahead probabilistic forecasts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using weighted interval score, 90% empirical coverage, interval width, mean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absolute error, and Brier score. Simple surveillance-history baselines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outperformed covariate-augmented models. In 2023, the last-observed country-rate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baseline had the lowest weighted interval score, 42.86, but undercovered observed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counts, 16/28. Negative-binomial baselines covered all observations but used wide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intervals. Public covariates did not provide stable, calibrated gains.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benchmark supports reproducible surveillance evaluation and calibrated public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health communication, not operational local risk prediction.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TEXT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Introduction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Hantaviruses are single-stranded RNA viruses transmitted to humans primarily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through contact with infected rodent excreta, including urine, feces,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saliva (1). No hantavirus vaccine is licensed for human use globally,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treatment is primarily supportive. In Europe and Asia, the principal clinical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syndrome caused by hantavirus infection is hemorrhagic fever with renal syndrome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(HFRS). European HFRS is driven principally by Puumala virus, whose reservoir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is the bank vole (*Myodes glareolus*), in northern and central Europe,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Dobrava-Belgrade virus in southeastern Europe (2). In the Americas, hantaviruses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cause hantavirus pulmonary syndrome (HPS) and hantavirus cardiopulmonary syndrome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(HCPS), with Sin Nombre virus (reservoir: deer mouse, *Peromyscus maniculatus*)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and Andes virus as the primary agents (1). Andes virus is exceptional among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hantaviruses: limited person-to-person transmission has been reported in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Argentina and Chile, an epidemiologic feature not documented for European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hantaviruses (3). Human-to-human transmission is not documented for Puumala,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Dobrava-Belgrade, or other EU/EEA hantaviruses.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 infection is reportable in the EU/EEA under the EU case definition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for hantavirus infection. In 2023, ECDC reported 1,885 confirmed and probable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cases from 28 EU/EEA countries, a population-weighted incidence of approximately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0.4 per 100,000 population; Finland and Germany accounted for most reported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cases (4). Annual case counts in Europe are strongly cyclic, reflecting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multi-year population dynamics of rodent reservoir hosts and the influence of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mast seeding events that drive bank vole population peaks (5). This cyclicity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makes hantavirus incidence partially predictable in qualitative terms — outbreak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years tend to follow mast-seeding years — but quantitative country-level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prediction from publicly available data remains uncertain.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Public attention to hantavirus can exceed what sparse annual surveillance data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can resolve. In May 2026, WHO reported a cluster of Andes virus infection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associated with cruise ship travel, generating widespread public inquiry about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 transmission in Europe; ECDC and WHO emphasized that Andes virus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reservoir species (*Oligoryzomys longicaudatus* and related sigmodontine rodents)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are not present in Europe and that sustained EU/EEA transmission of Andes virus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is biologically implausible (3,6). Events of this type — rare zoonotic clusters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amplified by international travel news — illustrate the risk of overconfident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interpretation of limited surveillance data. The social amplification of risk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framework describes how information about rare events can generate perceived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risk disproportionate to epidemiologic probability, and how transparent,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calibrated communication can moderate this amplification (7). Probabilistic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benchmarks that explicitly quantify what sparse public annual data can and cannot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support are therefore a practical tool not only for surveillance researchers but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also for public health communicators who must convey uncertainty during periods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of heightened attention to rare disease events.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Despite a substantial literature on European hantavirus spatial risk mapping (8),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rodent host dynamics and virus–host coevolution (9), and environmental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ecological drivers of hantavirus emergence (10), the predictive limits of public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country-year surveillance data have rarely been benchmarked with probabilistic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metrics that jointly assess forecast sharpness and calibration. Most published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 risk models either use within-country subnational data, focus 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qualitative or ordinal risk categories, or do not evaluate probabilistic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forecast uncertainty against held-out observations. Absence of a reproducible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benchmark makes it difficult for public health practitioners to gauge whether 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proposed covariate or model meaningfully improves upon surveillance history.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This study does not estimate true infection burden or produce operational alerts;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it evaluates what public annual country-level surveillance can support when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assessed with transparent probabilistic metrics. The contributions are: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(i) exact reconciliation of 2019–2023 ECDC annual hantavirus totals across 142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EU/EEA country-years; (ii) linkage to public demographic, land-use, and climate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covariates with documented provenance; (iii) retrospective one-year-ahead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probabilistic evaluation using weighted interval score and calibration-sharpness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metrics; and (iv) transparent reporting of a negative result: public covariates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did not improve stable, calibrated performance over simple surveillance-history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baselines. Transparent benchmarks are especially important when public attention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to rare zoonoses can amplify perceived risk faster than annual surveillance data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can resolve it.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Methods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Surveillance outcome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primary data source was the ECDC Annual Epidemiological Report for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 infection, which publishes EU/EEA country-year reported case counts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and population-weighted incidence per 100,000 population (4). We manually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extracted annual totals for EU/EEA countries for 2019–2023, yielding 142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country-year rows. Country inclusion in each year reflects the ECDC reporting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table; the number of countries reporting ranged from 28 to 29 per year.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United Kingdom was excluded from the primary balanced panel because UK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surveillance data were not reported by ECDC from 2020 onward following EU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withdrawal; UK rows are excluded from all analyses.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Each country-year was assigned a surveillance quality grade based on the ECDC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source notation. Rows described as "comprehensive" surveillance were assigned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grade B. Belgium 2023 was assigned quality grade C because the ECDC 2023 report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noted a surveillance-system change and did not publish a calculated incidence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rate. Cyprus 2023 was assigned quality grade C for unspecified completeness. All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remaining 140 rows were grade B. Grade-C rows were included in primary analyses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and excluded in one sensitivity scenario.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primary outcome was annual reported cases per country-year. Country-year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reported incidence per 100,000 population was computed as: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incidence_it = cases_it / population_it × 100,000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where i denotes country and t denotes year. Population denominators were taken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from World Bank Open Data for the matching country-year.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Public covariates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We linked ECDC case rows to five public covariate sources using ISO 3166-1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alpha-3 country codes and year.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*World Bank Open Data* provided country-year total population, rural population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fraction, and GDP per capita in purchasing power parity terms (constant 2017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international dollars). Data were available for all 142 rows.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*FAOSTAT* provided country-year land-use shares including forest area fraction,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cropland fraction, and permanent meadows and pastures fraction, aggregated to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matched country-year records. Data were available for all 142 rows.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*TerraClimate* provided country-year summaries of mean temperature, total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precipitation, maximum temperature, minimum temperature, soil moisture,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Palmer Drought Severity Index (PDSI), aggregated to country boundaries using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Natural Earth polygons and spatial averaging (11). Lag-1 versions (prior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calendar year) of six climate variables were computed to capture the seasonal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mast and rodent dynamics that precede hantavirus exposure in the following year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and to avoid temporal leakage of target-year climate information into forecasts.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Lag-1 features were available for 114 non-2019 country-year rows.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*Natural Earth* provided 1:50m resolution Admin-0 country boundary shapefiles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used for spatial aggregation and mapping (12).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*MODIS MOD13C2 Collection 6.1* NDVI and EVI were targeted as vegetation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covariates because vegetation conditions influence rodent food supply. However,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quality-masked country-year aggregation of MODIS tiles did not pass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pre-specified inclusion gate in this study; consequently, MODIS was excluded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and no vegetation or NDVI claims are made in this paper.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Retrospective evaluation design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All evaluations were retrospective one-year-ahead benchmarks; no prospective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validation against future data was conducted. The primary temporal split used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data from 2019–2021 as the training window, 2022 as the validation year for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hyperparameter selection, and 2023 as the held-out test year. No 2023 outcome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information was used at any stage of model fitting, feature screening, or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hyperparameter selection.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 covariate-augmented model was promoted over simple baselines only if it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satisfied all of the following: (i) 2023 WIS was at most 95% of the best simple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baseline WIS, or WIS was comparable and coverage was closer to 0.90; (ii) 2023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90% coverage was not lower than the best simple baseline by more than 0.05;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(iii) interval width was interpretable and not merely inflated; (iv) no 2023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outcome information was used in tuning; and (v) no causal interpretation was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made from coefficients. Leave-one-year-out sensitivity analyses used targets 2021,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2022, and 2023, training on all preceding years in each case.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Forecast baselines and covariate-block evaluation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We evaluated six model families: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*Simple surveillance-history baselines.* The last-observed country-rate baseline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set the predicted incidence rate for target year t to the observed country rate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 year t−1; the predicted count was the product of the lagged rate and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target-year population. The country historical mean-rate baseline used the mean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of all prior observed country rates. For both baselines, prediction intervals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were derived from Poisson quantiles at 0.05, 0.50, and 0.95 using the predicted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count as the Poisson mean.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*Negative-binomial baselines.* The empirical negative-binomial baseline fitted 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negative-binomial distribution to training counts, estimating overdispersion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as α = max((var(y_train) − mean(y_train)) / mean(y_train)², 10⁻⁶) and deriving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prediction intervals from the resulting distribution. The hierarchical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negative-binomial baseline shrunk each country's historical mean rate toward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regional panel mean using a shrinkage weight λᵢ = nᵢ/(nᵢ + k), where nᵢ is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number of prior observations for country i and k was selected on the 2022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validation WIS. These baselines provided conservative uncertainty references;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their overdispersion parameters were not interpreted as biological transmission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parameters.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*Covariate-block evaluation.* Nested feature blocks were constructed sequentially: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surveillance history only (lagged country and panel surveillance summaries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target-year indicators); plus demographic context (World Bank population,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rurality, GDP); plus land-use (FAOSTAT land-use shares); plus climate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water-balance (TerraClimate six-variable lag-1 block); plus source-quality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metadata (surveillance-completeness flags). Imputation parameters (median for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continuous variables, mode for binary) were fitted exclusively on training rows.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Constant, duplicate, and high-missingness features (&gt;40% missing) were removed,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and highly correlated numeric features (|r| &gt; 0.95 in training) were excluded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before fitting. The final modeling matrix contained ≤25 features before any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one-hot encoding. A gradient-boosting quantile regressor was fitted for each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block on the training window, with all hyperparameters fixed by validation-year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WIS. We refer to this procedure as covariate-block evaluation rather than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feature ablation to emphasize that each block is evaluated for practical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surveillance value, not for causal attribution.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*Penalized Poisson count model (exploratory).* A ridge-penalized Poisson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generalized linear model with a log population offset was fitted for each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covariate block: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log(μᵢₜ) = log(populationᵢₜ / 100,000) + β₀ + Xᵢₜβ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ridge penalty was applied to non-intercept coefficients; the penalty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parameter α was selected on 2022 validation WIS from the set {0.01, 0.1, 1, 10}.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This model was evaluated exploratorily, and coefficients were not interpreted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causally.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Evaluation metrics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Primary metrics were: (i) weighted interval score (WIS), computed for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central 90% prediction interval per Bracher et al. (13); (ii) 90% empirical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coverage, reported as numerator/denominator (e.g., 16/28) and fraction;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(iii) mean 90% interval width; (iv) mean absolute error (MAE) against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median prediction; (v) Brier score for any reported case (threshold: ≥1 case).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For a 90% prediction interval [l, u] and miscoverage α = 0.10, WIS is: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IS_α = (u − l) + (2/α)(l − y)·𝟙(y &lt; l) + (2/α)(y − u)·𝟙(y &gt; u)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 xml:space="preserve">  WIS = [0.5|y − median| + (α/2)·IS_α] / 1.5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Lower WIS indicates better combined sharpness and calibration. Coverage near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0.90 is nominal; below-nominal coverage indicates underestimated uncertainty;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above-nominal indicates over-wide intervals. No model was ranked by WIS alone: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coverage and interval width must be read jointly with WIS to characterize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calibration–sharpness tradeoff.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Sensitivity analyses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Three sensitivity scenarios were pre-specified: (i) all 142 rows (primary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analysis); (ii) excluding grade-C rows, removing Belgium 2023 and Cyprus 2023;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and (iii) excluding 2020–2021 COVID-era training rows, where sample size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permitted. Because COVID-era health-system disruption may have affected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reporting completeness and behavior, the third scenario tested whether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main negative result depended on potentially anomalous training data.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Ethics and reproducibility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This study used aggregate, country-year public surveillance data. No individual-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level, clinical, address-level, or restricted human-subject data were used;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institutional review was not required. All analysis code, processed public-data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tables, and data dictionaries are archived at https://doi.org/10.5281/zenodo.20150542.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Results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Dataset reconciliation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rebuilt ECDC case table contained 142 country-year rows across 28–29 EU/EEA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countries for 2019–2023. Annual totals reconciled exactly to ECDC published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figures: 4,088 cases in 2019, 1,693 in 2020, 4,947 in 2021, 2,185 in 2022,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1,885 in 2023 (Table 1). The marked decrease in 2020 and partial recovery in 2021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likely reflect both natural rodent population dynamics and COVID-era reporting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disruptions that are documented in ECDC surveillance notes. Of 142 rows, 140 were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grade B (comprehensive); Belgium 2023 and Cyprus 2023 were assigned grade C.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 missing values were present for World Bank or FAOSTAT covariates. TerraClimate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lag-1 climate features were complete for all 114 non-2019 country-year rows.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MODIS vegetation data were excluded from the analysis because quality-masked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aggregation did not pass the pre-specified gate.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Baseline performance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*Validation year (2022, n = 29 countries).* The empirical negative-binomial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baseline achieved the lowest WIS (47.17) and complete 90% coverage (29/29,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100%), but at the cost of very wide prediction intervals (mean width 694.2 cases;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Table 2). The hierarchical negative-binomial baseline produced nearly identical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results (WIS 47.38; coverage 29/29). The country historical mean-rate baseline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had a lower interval width (21.07 cases) but substantially higher WIS (65.58)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below-nominal coverage (18/29, 62%). The last-observed country-rate baseline had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worst WIS among simple baselines in 2022 (101.5) and undercovered observed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counts (16/29, 55%). The gradient-boosting covariate model had a WIS of 92.31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with no empirical coverage.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*Test year (2023, n = 28 countries).* The last-observed country-rate baseline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achieved the lowest WIS (42.86) and the narrowest mean prediction intervals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(14.61 cases per 100,000), but its 90% empirical coverage was substantially below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nominal (16/28, 57%). The empirical and hierarchical negative-binomial baselines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covered all 28 observed counts (28/28, 100%) but used substantially wider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prediction intervals (mean width ≈ 660 cases per 100,000). The country historical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mean-rate baseline had an intermediate WIS (52.47) but below-nominal coverage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(15/28, 54%).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2023 results exposed a pronounced calibration–sharpness tradeoff (Figure 2):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sharpest baseline undercovered observed counts; the best-covering baselines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used implausibly wide intervals that would be uninformative for surveillance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communication. No single baseline simultaneously achieved near-nominal 90%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coverage and meaningfully narrow prediction intervals.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Covariate-block evaluation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None of the five covariate blocks passed the pre-specified promotion rule in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2023 test year. The best-performing covariate block in 2023 was the land-use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block (mean WIS 318.5; 90% coverage 19/28, 68%), which was more than seven times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worse on WIS than the best simple baseline (42.86). The all-public feature set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had the worst 2023 WIS among covariate blocks (331.3; coverage 18/28, 64%). All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covariate blocks showed substantial WIS deterioration from the 2022 validation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year to the 2023 test year: for example, the all-public block improved slightly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over the simple baselines in 2022 (WIS 74.46 vs. 65.58 for the country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historical mean), but degraded sharply in 2023. This validation-to-test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instability indicates that the covariate associations learned on the 2019–2021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training window did not transfer reliably to the 2023 test year. Public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demographic, land-use, and climate covariates did not provide a stable,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calibrated improvement over surveillance history at the country-year annual scale.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Penalized Poisson count model (exploratory)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best-performing penalized Poisson model in 2023 used the land-use feature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set with penalty parameter α = 0.01 (mean WIS 159.4; 90% coverage 9/28, 32%).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This model failed the promotion rule on every criterion: WIS was more than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three times worse than the best simple baseline; coverage was approximately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one-third of the nominal 90%; interval width was narrow (28.82 cases) because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model's point estimates were too certain, producing sharp but systematically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miscalibrated forecasts. The count model exploratory results are consistent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with the gradient-boosting covariate-block evaluation: public annual covariates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do not provide the signal needed to support calibrated country-level forecasts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for sparse EU/EEA hantavirus data.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Country-level incidence map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Figure 1 shows country-level reported hantavirus incidence per 100,000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population for 2023. Incidence was highest in Finland and Germany, consistent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with the known ecology of Puumala virus and bank vole population peaks in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northern Europe in that year. Most EU/EEA countries reported fewer than 1 case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per 100,000 or zero cases. Several countries — particularly in southern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eastern Europe — reported zero cases, reflecting a combination of genuine low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incidence and possible underdiagnosis or underreporting under heterogeneous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national surveillance systems. The map shows country-level surveillance totals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only; no within-country spatial variation is implied.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/>
          <w:sz w:val="24"/>
        </w:rPr>
        <w:t>Sensitivity analyses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Excluding grade-C rows (Belgium and Cyprus 2023, n = 26 test countries) did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not change the main conclusion: the best covariate block (land use) had 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2023 WIS of 341.6 (vs. 318.5 in the primary analysis), and covariate-augmented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models did not outperform simple surveillance-history baselines. Excluding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2020–2021 COVID-era training rows shifted numerical WIS values but did not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reverse the negative result; the all-public covariate block under this scenario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had a 2023 WIS of 75.85, still above or comparable to the negative-binomial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baselines, and did not achieve near-nominal 90% coverage (89% vs. nominal 90%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but with very wide intervals of mean width 764 cases). The central finding was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robust across all three sensitivity scenarios.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Discussion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central finding of this benchmark is that sparse annual country-level EU/EEA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public surveillance data support transparent probabilistic evaluation but not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stable covariate-driven prediction. In 2023, the lowest WIS was achieved by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 simple last-observed country-rate baseline, yet this baseline undercovered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observed counts. Negative-binomial baselines achieved complete empirical coverage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by producing prediction intervals that span hundreds of cases per 100,000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population — intervals that are nominally correct but operationally uninformative.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 covariate-augmented model improved upon both dimensions simultaneously. The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negative result is the public-health result: sparse annual public data did not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support stable covariate-driven improvement over simple surveillance history.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This finding should temper operational claims and motivate better surveillance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inputs rather than more complex modeling.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For routine surveillance practice, the benchmark establishes two concrete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standards. First, any model proposed for EU/EEA hantavirus surveillance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evaluation should be assessed against both WIS and 90% empirical coverage,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not against point accuracy alone. A model that appears to have low mean absolute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error can simultaneously undercover observed counts, overstating confidence in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its predictions. Second, simple baselines — last-observed rate, historical mean —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are stronger than they appear in absolute terms: their median predictions are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often closer to observations than those of covariate-augmented models on sparse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annual data, and their uncertainty intervals, while not perfectly calibrated,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are narrower and more interpretable than overdispersed negative-binomial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alternatives. Surveillance programs that currently generate predictive statements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from public annual data without baseline comparisons risk overstating predictive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value.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calibration–sharpness tradeoff documented here has direct relevance for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risk communication during periods of heightened public attention to hantavirus.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When a surveillance system can produce a sharp forecast (narrow interval, low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WIS) only by systematically undercovering observed values, that sharpness is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 artifact of overconfidence rather than genuine predictive signal. Communicating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this tradeoff to public health practitioners and to the media can help prevent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false precision that follows from reporting a point estimate without its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calibration context. The social amplification of risk literature documents how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overconfident quantitative claims can amplify public concern disproportionately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to epidemiologic probability (7); transparent calibration benchmarks provide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practitioners with the evidence needed to resist this amplification.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value of this benchmark is not that it produces a deployable predictor.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Its value is that it makes false precision visible.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data limitations identified by this benchmark point toward productive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directions for surveillance improvement. Subnational data — at the regional or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prefecture level, where rodent habitat is more homogeneous — would substantially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reduce ecological aggregation bias inherent in country-year modeling. Reservoir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host density data, if collected systematically alongside hantavirus reporting,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would provide the mechanistic signal that public climate and land-use covariates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cannot. Longer comparable annual panels — extending the 2019–2023 window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backward with consistent case definitions — would improve the sample efficiency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of training and reduce dependence on COVID-era data that may reflect reporting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artifacts. Better harmonization of case definitions and surveillance completeness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reporting across EU/EEA member states would reduce the noise currently captured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by quality-grade flags. These structural improvements to surveillance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infrastructure are a more productive path than adding coarser public covariates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to an already sparse annual panel.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Limitations. This benchmark has five annual reporting years, which severely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limits statistical power to detect covariate effects. Country-year aggregation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masks within-country spatial and temporal heterogeneity in exposure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reporting. Reported incidence reflects reporting completeness and health-seeking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behavior as well as true infection burden; the benchmark evaluates reported counts,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not unbiased burden estimates. Reporting heterogeneity across EU/EEA member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states is documented but not fully modeled. Belgium 2023 and Cyprus 2023 carry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grade-C quality flags for surveillance-system changes. The 2020–2021 training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years may reflect COVID-era health-system disruptions that altered reporting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independently of true hantavirus incidence. All evaluations are retrospective;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 prospective validation was conducted. No causal inference is made from any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covariate association. MODIS vegetation data were excluded because quality-masked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aggregation did not pass the pre-specified gate; vegetation claims are not made.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Results apply specifically to EU/EEA public annual reported surveillance and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should not be generalized to other surveillance systems, syndrome definitions,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geographic settings, or temporal resolutions. This benchmark does not model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human-to-human hantavirus transmission; no such modeling was attempted.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Conclusion. An open reproducible benchmark for reported hantavirus incidence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 EU/EEA countries, 2019–2023, shows that simple surveillance-history baselines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are difficult to beat with public annual country-level data. The calibration–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sharpness tradeoff documented here quantifies the uncertainty that public health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practitioners should acknowledge when interpreting or communicating annual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 surveillance data, particularly during periods of heightened public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attention to rare zoonotic events. Improving surveillance infrastructure —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subnational resolution, longer panels, systematic reservoir data — is a more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productive path to calibrated EU/EEA hantavirus risk assessment than adding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coarse public covariates to sparse annual counts.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ACKNOWLEDGMENTS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author thanks the European Centre for Disease Prevention and Control (ECDC)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for publicly accessible Annual Epidemiological Reports, and the following open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data providers: World Bank Open Data, FAOSTAT, TerraClimate, and Natural Earth.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Artificial intelligence assistance was used for manuscript planning, language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editing, and pre-submission quality checks. The author verified all analyses,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references, and claims and accepts responsibility for the final manuscript. No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AI-generated figures were used.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AUTHOR BIOGRAPHY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Julian Juan is an independent researcher interested in reproducible infectious-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disease surveillance, probabilistic evaluation, and public-health modeling.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REFERENCES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1. Jonsson CB, Figueiredo LT, Vapalahti O. A global perspective on hantavirus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ecology, epidemiology, and disease. Clin Microbiol Rev. 2010;23:412–41.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2. Vaheri A, Henttonen H, Voutilainen L, Mustonen J, Sironen T, Vapalahti O.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 infections in Europe and their impact on public health. Rev Med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Virol. 2013;23:35–49.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3. World Health Organization. Hantavirus cluster linked to cruise ship travel,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multi-country — Disease Outbreak News. Geneva: WHO; 2026 [cited 2026 May 12].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Available at: https://www.who.int/emergencies/disease-outbreak-news/item/2026-DON600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4. European Centre for Disease Prevention and Control. Hantavirus infection —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Annual Epidemiological Report for 2023. Stockholm: ECDC; 2024 [cited 2026 May 12].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Available at: https://www.ecdc.europa.eu/en/publications-data/hantavirus-infection-annual-epidemiological-report-2023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5. Voutilainen L, Sironen T, Tonteri E, Balk-Moller NC, Iivanainen A, Niemimaa J,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et al. Life-long antibody responses and evidence for waning immunity to Puumala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hantavirus in a bank vole population. J Virol. 2015;89:5765–75.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6. World Health Organization. Hantavirus fact sheet. Geneva: WHO; 2023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[cited 2026 May 12]. Available at: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https://www.who.int/news-room/fact-sheets/detail/hantavirus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7. Kasperson RE, Renn O, Slovic P, Brown HS, Emel J, Goble R, et al. The social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amplification of risk: a conceptual framework. Risk Anal. 1988;8:177–87.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8. Zeimes CB, Olsson GE, Ahlm C, Vanwambeke SO. Landscape and local climatic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effects on human Puumala hantavirus incidence — the role of forest spatial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pattern. PeerJ. 2014;2:e541.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9. Kallio ER, Klingström J, Gustafsson E, Manni T, Vaheri A, Henttonen H, et al.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Prolonged survival of Puumala hantavirus outside the host: evidence for indirect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transmission via the environment. J Gen Virol. 2006;87:2127–34.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10. Reusken C, Heyman P. Factors driving hantavirus emergence in Europe.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Curr Opin Virol. 2013;3:92–9.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11. Abatzoglou JT, Dobrowski SZ, Parks SA, Hegewisch KC. TerraClimate, a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high-resolution global dataset of monthly climate and climatic water balance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from 1958–2015. Sci Data. 2018;5:170191.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12. Natural Earth. Natural Earth: free vector and raster map data [Internet].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2024 [cited 2026 May 12]. Available at: https://www.naturalearthdata.com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13. Bracher J, Ray EL, Gneiting T, Reich NG. Evaluating epidemic forecasts in 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interval format. PLoS Comput Biol. 2021;17:e1008618.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14. World Bank Open Data. World development indicators [Internet]. Washington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(DC): World Bank; 2024 [cited 2026 May 12]. Available at: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https://data.worldbank.org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15. Food and Agriculture Organization of the United Nations. FAOSTAT land use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[Internet]. Rome: FAO; 2024 [cited 2026 May 12]. Available at: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https://www.fao.org/faostat/en/#data/RL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TABLE LEGENDS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Table 1. Source and quality audit for the EU/EEA hantavirus incidence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benchmark, 2019–2023. ECDC = European Centre for Disease Prevention and Control;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FAOSTAT = Food and Agriculture Organization Corporate Statistical Database;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GDP = gross domestic product; NDVI = normalized difference vegetation index;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EVI = enhanced vegetation index; QA = quality assurance.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Table 2. Core benchmark performance for 2022 (validation) and 2023 (test)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evaluation years. WIS = weighted interval score (lower is better); Coverage =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90% empirical coverage (fraction of observed counts inside the 90% prediction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interval, reported as numerator/total); Width = mean 90% interval width in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cases per 100,000 population; MAE = mean absolute error against median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prediction; Brier = Brier score for any reported case (threshold ≥1 case).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Bold indicates best value per column per evaluation year. NB = negative binomial.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FIGURE LEGENDS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Figure 1. Country-level reported hantavirus incidence per 100,000 population,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EU/EEA, 2023. Data source: ECDC Annual Epidemiological Report for 2023.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Map projection: ETRS89/LAEA Europe (EPSG:3035). Boundaries: Natural Earth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1:50m Admin-0. Gray indicates countries for which data were not reported or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available. Map reflects country-level annual reported surveillance totals;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 within-country spatial variation is implied. Belgium 2023 and Cyprus 2023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are quality grade C (surveillance-system changes).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Figure 2. Calibration–sharpness tradeoff for 2023 one-year-ahead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probabilistic forecasts. Each point represents one model or covariate block.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x-axis: mean 90% prediction interval width (cases per 100,000 population);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y-axis: mean weighted interval score (lower is better). Point shape indicates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model family: circles = simple surveillance-history baselines; squares =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negative-binomial baselines; triangles = covariate blocks (gradient boosting);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diamonds = penalized Poisson count models. Key labeled points are annotated.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 single model achieved both low WIS and near-nominal coverage simultaneously: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the last-observed country-rate baseline (lowest WIS, 42.86) undercovered observed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counts (16/28, 57%); the empirical negative-binomial baseline (best coverage,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28/28, 100%) used intervals approximately 45-fold wider.</w:t>
      </w:r>
    </w:p>
    <w:p>
      <w:pPr>
        <w:spacing w:before="120" w:after="0" w:line="480" w:lineRule="exact"/>
        <w:jc w:val="left"/>
      </w:pPr>
      <w:r>
        <w:rPr>
          <w:rFonts w:ascii="Times New Roman" w:hAnsi="Times New Roman"/>
          <w:b/>
          <w:i w:val="0"/>
          <w:sz w:val="24"/>
        </w:rPr>
        <w:t>TABLES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Table 1. Source and quality audit for the EU/EEA hantavirus incidence benchmark, 2019–2023.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Component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Source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Years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Rows/Coverage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QA result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Manuscript use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Reported cases/incidence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ECDC Annual Epidemiological Report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2019–2023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142 country-years; 28–29 countries/year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PASS — totals reconcile exactly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Primary outcome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Population, rurality, GDP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World Bank Open Data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2019–2023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142 rows; no missing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Covariate block: demographic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Land-use shares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FAOSTAT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2019–2023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142 rows; no missing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Covariate block: land use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Climate/water balance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TerraClimate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2018–2023 (lag-1 for 2019–2023)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142 rows current year; 114 rows lag-1 complete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Covariate block: climate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Country boundaries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Natural Earth (1:50m Admin-0)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2024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28–29 countries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PASS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Maps and spatial aggregation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NDVI/EVI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MODIS MOD13C2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 (excluded)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FAIL — QA-masked aggregation not implemented</w:t>
            </w:r>
          </w:p>
        </w:tc>
        <w:tc>
          <w:tcPr>
            <w:tcW w:type="dxa" w:w="1560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Excluded; no vegetation claims</w:t>
            </w:r>
          </w:p>
        </w:tc>
      </w:tr>
    </w:tbl>
    <w:p/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Note: Belgium 2023 and Cyprus 2023 are quality grade C (surveillance-system changes); all other rows are grade B (comprehensive).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Table 2. Core benchmark performance for 2022 (validation) and 2023 (test) evaluation years.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Year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Model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WIS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Coverage, n/N (%)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Width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MAE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/>
                <w:i w:val="0"/>
                <w:sz w:val="20"/>
              </w:rPr>
              <w:t>Brier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Country historical mean rate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65.58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18/29 (62%)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21.07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69.79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0.025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Last-observed country rate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101.5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16/29 (55%)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24.55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108.1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0.033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Empirical NB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**47.17**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**29/29 (100%)**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694.2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72.1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0.158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Hierarchical NB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47.38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29/29 (100%)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693.5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72.79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0.198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Best covariate block (all public)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74.46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22/29 (76%)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264.9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109.9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0.386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2022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Best penalized Poisson (land use)†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—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Country historical mean rate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52.47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15/28 (54%)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20.61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58.14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0.036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Last-observed country rate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**42.86**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16/28 (57%)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**14.61**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**47.11**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**0.061**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Empirical NB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43.75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**28/28 (100%)**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660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65.25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0.190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Hierarchical NB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43.90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28/28 (100%)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659.4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65.75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0.215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Best covariate block (land use)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318.5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19/28 (68%)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325.9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367.4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0.294</w:t>
            </w:r>
          </w:p>
        </w:tc>
      </w:tr>
      <w:tr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2023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Best penalized Poisson (land use)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159.4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9/28 (32%)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28.82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167.6</w:t>
            </w:r>
          </w:p>
        </w:tc>
        <w:tc>
          <w:tcPr>
            <w:tcW w:type="dxa" w:w="1337"/>
          </w:tcPr>
          <w:p>
            <w:r>
              <w:rPr>
                <w:rFonts w:ascii="Times New Roman" w:hAnsi="Times New Roman"/>
                <w:b w:val="0"/>
                <w:i w:val="0"/>
                <w:sz w:val="20"/>
              </w:rPr>
              <w:t>0.099</w:t>
            </w:r>
          </w:p>
        </w:tc>
      </w:tr>
    </w:tbl>
    <w:p/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WIS = weighted interval score (lower is better). Width = mean 90% interval width (cases per 100,000).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Bold indicates best value per column per evaluation year.</w:t>
      </w:r>
    </w:p>
    <w:p>
      <w:pPr>
        <w:spacing w:before="0" w:after="0" w:line="480" w:lineRule="exact"/>
        <w:jc w:val="left"/>
      </w:pPr>
      <w:r>
        <w:rPr>
          <w:rFonts w:ascii="Times New Roman" w:hAnsi="Times New Roman"/>
          <w:b w:val="0"/>
          <w:i w:val="0"/>
          <w:sz w:val="24"/>
        </w:rPr>
        <w:t>† Penalized Poisson 2022 results reflect validation-year WIS used for tuning only; primary evaluation is the 2023 test year.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exact" w:before="0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