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Author Statements — EID Submission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Ethics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study used aggregate, publicly available surveillance data at the country-year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level. No individual-level, clinical, address-level, or restricted human-subject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data were accessed. All data are freely available from ECDC, World Bank, FAOSTAT,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TerraClimate, and Natural Earth. Institutional review was not required for secondary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analysis of publicly available aggregate data.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Funding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external funding was received for this work.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Competing Interests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author declares no competing interests.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AI Disclosure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Artificial intelligence assistance was used for manuscript planning, language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editing, and pre-submission quality checks. The author verified all analyses,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references, and claims and accepts responsibility for the final manuscript. No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AI-generated figures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Data and Code Availability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analysis code, processed public-data tables, data dictionaries,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reproducibility scripts are archived at https://doi.org/10.5281/zenodo.20150542.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Source data were obtained from: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ECDC Annual Epidemiological Reports (https://www.ecdc.europa.eu)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World Bank Open Data (https://data.worldbank.org)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FAOSTAT (https://www.fao.org/faostat)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TerraClimate (https://www.climatologylab.org/terraclimate.html)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Natural Earth (https://www.naturalearthdata.com)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individual-level, clinical, address-level, or restricted data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CRediT Author Contributions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Juan: Conceptualization, Data curation, Formal analysis, Investigation,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Methodology, Software, Validation, Visualization, Writing – original draft,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Writing – review and editing.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Author Biography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 is an independent researcher interested in reproducible infectious-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disease surveillance, probabilistic evaluation, and public-health modeling.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ORCID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0009-0003-7234-2245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Keywords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hantavirus; zoonoses; disease surveillance; EU/EEA; probabilistic forecasting;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calibration; public health communication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