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480" w:lineRule="auto"/>
        <w:jc w:val="left"/>
      </w:pPr>
      <w:r>
        <w:rPr>
          <w:rFonts w:ascii="Times New Roman" w:hAnsi="Times New Roman"/>
          <w:b/>
          <w:i w:val="0"/>
          <w:sz w:val="28"/>
        </w:rPr>
        <w:t>Cover Letter — Emerging Infectious Diseases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May 13, 2026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To the Editors,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/>
          <w:sz w:val="24"/>
        </w:rPr>
        <w:t>Emerging Infectious Diseases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We submit "Public Surveillance Benchmark for Reported Hantavirus Incidence,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EU/EEA, 2019–2023" for consideration as a Research article in *Emerging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Infectious Diseases*.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This manuscript reports a reproducible public-surveillance benchmark for reported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hantavirus incidence in EU/EEA countries, 2019–2023. Its public-health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contribution is not a deployable prediction system, but a calibration-aware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evaluation showing that sparse annual public data do not support strong covariate-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driven forecasting claims and that simple surveillance-history baselines remain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difficult to beat. This result is timely because public attention to rare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zoonoses — including the May 2026 WHO-reported Andes virus cruise ship cluster —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can create pressure for overconfident interpretation of limited surveillance data.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Transparent benchmarks that explicitly quantify the limits of sparse public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reporting are a practical tool for calibrated risk communication.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study makes four contributions relevant to EID readers: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Exact reconciliation of 2019–2023 ECDC annual hantavirus totals across 142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EU/EEA country-years, providing a reproducible open baseline for future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surveillance evaluation.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2. Probabilistic evaluation using weighted interval score, 90% empirical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coverage, interval width, and mean absolute error — metrics that jointly assess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sharpness and calibration rather than point accuracy alone.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3. A transparent negative result: public demographic, land-use, and climate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covariates did not produce stable, calibrated improvement over simple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surveillance-history baselines. Covariate-augmented models had WIS more than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7 times worse than the best simple baseline in 2023.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4. A calibration–sharpness tradeoff figure that directly illustrates what public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annual country-level surveillance can and cannot support operationally.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manuscript does not claim operational risk prediction, causal environmental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drivers, individual-level risk, or generalizability beyond EU/EEA annual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reported surveillance. All analyses are retrospective. No individual-level,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clinical, address-level, or restricted data were used; institutional review was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not required.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All analysis code, processed public-data tables, and reproducibility scripts are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publicly archived at https://doi.org/10.5281/zenodo.20150542. Source data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are from ECDC, World Bank, FAOSTAT, TerraClimate, and Natural Earth — all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publicly accessible with no access restrictions.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manuscript has not been submitted elsewhere. The author has no competing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interests and received no external funding for this work.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Sincerely,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Julian Juan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Independent researcher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bubgaming3@gmail.com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ORCID: 0009-0003-7234-2245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start="1"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