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TITLE PAGE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Title: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Public Surveillance Benchmark for Reported Hantavirus Incidence, EU/EEA, 2019–2023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Running head: EU/EEA Hantavirus Surveillance Benchmark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Author: Julian Juan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Affiliation: Independent researcher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ORCID: 0009-0003-7234-2245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Corresponding author: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Julian Juan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Email: bubgaming3@gmail.com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Word count (abstract): 138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**Word count (text, excluding abstract, acknowledgments, references, tables,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figure legends):** 3,284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One-sentence summary: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Simple surveillance-history baselines outperformed covariate-rich models,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underscoring limits of sparse annual public data for reported hantavirus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incidence.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Keywords: hantavirus; zoonoses; disease surveillance; EU/EEA; probabilistic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forecasting; calibration; public health communication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ABSTRACT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Public surveillance data are often invoked during attention to rare zoonoses,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but sparse annual reports may not support operational prediction. We created 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open benchmark for reported hantavirus incidence in EU/EEA countries, 2019–2023,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using ECDC Annual Epidemiological Report data linked to public demographic,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land-use, climate, and boundary data. Rebuilt annual totals matched ECDC exactly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across 142 country-years. We evaluated one-year-ahead probabilistic forecasts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using weighted interval score, 90% empirical coverage, interval width, mean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absolute error, and Brier score. Simple surveillance-history baselines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outperformed covariate-augmented models. In 2023, the last-observed country-rate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baseline had the lowest weighted interval score, 42.86, but undercovered observed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counts, 16/28. Negative-binomial baselines covered all observations but used wide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intervals. Public covariates did not provide stable, calibrated gains.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benchmark supports reproducible surveillance evaluation and calibrated public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health communication, not operational local risk prediction.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TEXT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Introduction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Hantaviruses are single-stranded RNA viruses transmitted to humans primarily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through contact with infected rodent excreta, including urine, feces,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saliva (1,3). In Europe and Asia, the principal clinical syndrome caused by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hantavirus infection is hemorrhagic fever with renal syndrome (HFRS). European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HFRS is driven principally by Puumala virus, whose reservoir is the bank vole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/>
          <w:b w:val="0"/>
          <w:i/>
          <w:sz w:val="24"/>
        </w:rPr>
        <w:t>Myodes glareolus</w:t>
      </w:r>
      <w:r>
        <w:rPr>
          <w:rFonts w:ascii="Times New Roman" w:hAnsi="Times New Roman"/>
          <w:b w:val="0"/>
          <w:i w:val="0"/>
          <w:sz w:val="24"/>
        </w:rPr>
        <w:t>), in northern and central Europe, and Dobrava-Belgrade virus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 southeastern Europe (2). In the Americas, hantaviruses cause hantavirus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pulmonary syndrome (HPS) and hantavirus cardiopulmonary syndrome (HCPS). Andes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virus is exceptional among hantaviruses: limited person-to-person transmission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has been reported in Argentina and Chile, an epidemiologic feature not documented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for European hantaviruses (3).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Hantavirus infection is reportable in the EU/EEA under the EU case definition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for hantavirus infection. In 2023, ECDC reported 1,885 confirmed and probable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cases from 28 EU/EEA countries, a population-weighted incidence of approximately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0.4 per 100,000 population; Finland and Germany accounted for most reported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cases (4). Annual European counts are cyclic, reflecting multi-year rodent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reservoir dynamics and mast seeding events that drive bank vole population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peaks (5). This cyclicity makes qualitative risk recognizable, but quantitative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country-level prediction from public annual data remains uncertain.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Public attention to hantavirus can exceed what sparse annual surveillance data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can resolve. In May 2026, WHO reported a cluster of Andes virus infection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associated with cruise ship travel (6). ECDC assessed risk to the general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population in Europe as very low and noted that the natural reservoir for Andes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virus is not present in Europe (7). Events of this type illustrate how rare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zoonotic clusters amplified by international travel news can invite overconfident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interpretation of limited surveillance data. The social amplification of risk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framework describes how rare-event information can generate perceived risk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disproportionate to epidemiologic probability (8). Probabilistic benchmarks that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quantify what sparse public annual data can and cannot support are therefore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useful for surveillance researchers and public health communicators.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Despite a substantial literature on European hantavirus spatial risk mapping (9),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rodent host dynamics and virus-host coevolution (10), and environmental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ecological drivers of hantavirus emergence (11), the predictive limits of public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country-year surveillance data have rarely been benchmarked with probabilistic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metrics that jointly assess forecast sharpness and calibration. Most published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hantavirus risk models either use within-country subnational data, focus 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qualitative or ordinal risk categories, or do not evaluate probabilistic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forecast uncertainty against held-out observations. Absence of a reproducible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benchmark makes it difficult for public health practitioners to gauge whether 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proposed covariate or model meaningfully improves upon surveillance history.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This study does not estimate true infection burden or produce operational alerts;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it evaluates what public annual country-level surveillance can support when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assessed with transparent probabilistic metrics. The contributions are: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(i) exact reconciliation of 2019–2023 ECDC annual hantavirus totals across 142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EU/EEA country-years; (ii) linkage to public demographic, land-use, and climate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covariates with documented provenance; (iii) retrospective one-year-ahead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probabilistic evaluation using weighted interval score and calibration-sharpness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metrics; and (iv) transparent reporting of a negative result: public covariates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did not improve stable, calibrated performance over simple surveillance-history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baselines. Transparent benchmarks are especially important when public attention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to rare zoonoses can amplify perceived risk faster than annual surveillance data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can resolve it.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Methods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Surveillance outcome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primary data source was the ECDC Annual Epidemiological Report for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hantavirus infection, which publishes EU/EEA country-year reported case counts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and population-weighted incidence per 100,000 population (4). We manually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extracted annual totals for EU/EEA countries for 2019–2023, yielding 142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country-year rows. Country inclusion in each year reflects the ECDC reporting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table; the number of countries reporting ranged from 28 to 29 per year.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United Kingdom was excluded from the primary balanced panel because UK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surveillance data were not reported by ECDC from 2020 onward following EU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withdrawal; UK rows are excluded from all analyses.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Each country-year was assigned a surveillance quality grade based on the ECDC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source notation. Rows described as "comprehensive" surveillance were assigned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grade B. Belgium 2023 was assigned quality grade C because the ECDC 2023 report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noted a surveillance-system change and did not publish a calculated incidence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rate. Cyprus 2023 was assigned quality grade C for unspecified completeness. All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remaining 140 rows were grade B. Grade-C rows were included in primary analyses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and excluded in one sensitivity scenario.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primary outcome was annual reported cases per country-year. Country-year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reported incidence per 100,000 population was computed from reported cases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World Bank population denominators. Exact formulas for incidence, forecast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distributions, and evaluation metrics are provided in the Appendix.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Public covariates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We linked ECDC case rows to five public covariate sources using ISO 3166-1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alpha-3 country codes and year.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World Bank Open Data</w:t>
      </w:r>
      <w:r>
        <w:rPr>
          <w:rFonts w:ascii="Times New Roman" w:hAnsi="Times New Roman"/>
          <w:b w:val="0"/>
          <w:i w:val="0"/>
          <w:sz w:val="24"/>
        </w:rPr>
        <w:t xml:space="preserve"> provided country-year total population, rural population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fraction, and GDP per capita in purchasing power parity terms (constant 2017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international dollars) (12). Data were available for all 142 rows.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FAOSTAT</w:t>
      </w:r>
      <w:r>
        <w:rPr>
          <w:rFonts w:ascii="Times New Roman" w:hAnsi="Times New Roman"/>
          <w:b w:val="0"/>
          <w:i w:val="0"/>
          <w:sz w:val="24"/>
        </w:rPr>
        <w:t xml:space="preserve"> provided country-year land-use shares including forest area fraction,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cropland fraction, and permanent meadows and pastures fraction, aggregated to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matched country-year records (13). Data were available for all 142 rows.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TerraClimate</w:t>
      </w:r>
      <w:r>
        <w:rPr>
          <w:rFonts w:ascii="Times New Roman" w:hAnsi="Times New Roman"/>
          <w:b w:val="0"/>
          <w:i w:val="0"/>
          <w:sz w:val="24"/>
        </w:rPr>
        <w:t xml:space="preserve"> provided country-year summaries of mean temperature, total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precipitation, maximum temperature, minimum temperature, soil moisture,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Palmer Drought Severity Index (PDSI), aggregated to country boundaries using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Natural Earth polygons and spatial averaging (14). Lag-1 versions (prior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calendar year) of six climate variables were computed to capture the seasonal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mast and rodent dynamics that precede hantavirus exposure in the following year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and to avoid temporal leakage of target-year climate information into forecasts.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Lag-1 features were available for 114 non-2019 country-year rows.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Natural Earth</w:t>
      </w:r>
      <w:r>
        <w:rPr>
          <w:rFonts w:ascii="Times New Roman" w:hAnsi="Times New Roman"/>
          <w:b w:val="0"/>
          <w:i w:val="0"/>
          <w:sz w:val="24"/>
        </w:rPr>
        <w:t xml:space="preserve"> provided 1:50m resolution Admin-0 country boundary shapefiles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used for spatial aggregation and mapping (15).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MODIS MOD13C2 Collection 6.1</w:t>
      </w:r>
      <w:r>
        <w:rPr>
          <w:rFonts w:ascii="Times New Roman" w:hAnsi="Times New Roman"/>
          <w:b w:val="0"/>
          <w:i w:val="0"/>
          <w:sz w:val="24"/>
        </w:rPr>
        <w:t xml:space="preserve"> NDVI and EVI were targeted as vegetation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covariates because vegetation conditions influence rodent food supply. However,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quality-masked country-year aggregation of MODIS tiles did not pass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pre-specified inclusion gate in this study; consequently, MODIS was excluded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and no vegetation or NDVI claims are made in this paper.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Retrospective evaluation design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All evaluations were retrospective one-year-ahead benchmarks; no prospective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validation against future data was conducted. The primary temporal split used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data from 2019–2021 as the training window, 2022 as the validation year for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hyperparameter selection, and 2023 as the held-out test year. No 2023 outcome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information was used at any stage of model fitting, feature screening, or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hyperparameter selection.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 covariate-augmented model was promoted over simple baselines only if it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satisfied all of the following: (i) 2023 WIS was at most 95% of the best simple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baseline WIS, or WIS was comparable and coverage was closer to 0.90; (ii) 2023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90% coverage was not lower than the best simple baseline by more than 0.05;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(iii) interval width was interpretable and not merely inflated; (iv) no 2023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outcome information was used in tuning; and (v) no causal interpretation was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made from coefficients. Leave-one-year-out sensitivity analyses used targets 2021,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2022, and 2023, training on all preceding years in each case.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Forecast baselines and covariate-block evaluation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We evaluated six model families: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Simple surveillance-history baselines.</w:t>
      </w:r>
      <w:r>
        <w:rPr>
          <w:rFonts w:ascii="Times New Roman" w:hAnsi="Times New Roman"/>
          <w:b w:val="0"/>
          <w:i w:val="0"/>
          <w:sz w:val="24"/>
        </w:rPr>
        <w:t xml:space="preserve"> The last-observed country-rate baseline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set the predicted incidence rate for target year t to the observed country rate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 year t−1; the predicted count was the product of the lagged rate and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target-year population. The country historical mean-rate baseline used the mean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of all prior observed country rates. For both baselines, prediction intervals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were derived from Poisson quantiles at 0.05, 0.50, and 0.95 using the predicted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count as the Poisson mean.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Negative-binomial baselines.</w:t>
      </w:r>
      <w:r>
        <w:rPr>
          <w:rFonts w:ascii="Times New Roman" w:hAnsi="Times New Roman"/>
          <w:b w:val="0"/>
          <w:i w:val="0"/>
          <w:sz w:val="24"/>
        </w:rPr>
        <w:t xml:space="preserve"> The empirical negative-binomial baseline fitted 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negative-binomial distribution to training counts, estimating overdispersion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as α = max((var(y_train) − mean(y_train)) / mean(y_train)², 10⁻⁶) and deriving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prediction intervals from the resulting distribution. The hierarchical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negative-binomial baseline shrunk each country's historical mean rate toward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regional panel mean using a shrinkage weight λᵢ = nᵢ/(nᵢ + k), where nᵢ is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number of prior observations for country i and k was selected on the 2022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validation WIS. These baselines provided conservative uncertainty references;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their overdispersion parameters were not interpreted as biological transmission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parameters.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Covariate-block evaluation.</w:t>
      </w:r>
      <w:r>
        <w:rPr>
          <w:rFonts w:ascii="Times New Roman" w:hAnsi="Times New Roman"/>
          <w:b w:val="0"/>
          <w:i w:val="0"/>
          <w:sz w:val="24"/>
        </w:rPr>
        <w:t xml:space="preserve"> Nested feature blocks were constructed sequentially: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surveillance history only (lagged country and panel surveillance summaries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target-year indicators); plus demographic context (World Bank population,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rurality, GDP); plus land-use (FAOSTAT land-use shares); plus climate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water-balance (TerraClimate six-variable lag-1 block); plus source-quality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metadata (surveillance-completeness flags). Imputation parameters (median for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continuous variables, mode for binary) were fitted exclusively on training rows.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Constant, duplicate, and high-missingness features (&gt;40% missing) were removed,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and highly correlated numeric features (|r| &gt; 0.95 in training) were excluded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before fitting. The final modeling matrix contained ≤25 features before any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one-hot encoding. A gradient-boosting quantile regressor was fitted for each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block on the training window, with all hyperparameters fixed by validation-year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WIS. We refer to this procedure as covariate-block evaluation rather than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feature ablation to emphasize that each block is evaluated for practical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surveillance value, not for causal attribution.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Penalized Poisson count model (exploratory).</w:t>
      </w:r>
      <w:r>
        <w:rPr>
          <w:rFonts w:ascii="Times New Roman" w:hAnsi="Times New Roman"/>
          <w:b w:val="0"/>
          <w:i w:val="0"/>
          <w:sz w:val="24"/>
        </w:rPr>
        <w:t xml:space="preserve"> A ridge-penalized Poisson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generalized linear model with a log population offset was fitted for each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covariate block. The ridge penalty was applied to non-intercept coefficients; the penalty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parameter α was selected on 2022 validation WIS from the set {0.01, 0.1, 1, 10}.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This model was evaluated exploratorily, and coefficients were not interpreted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causally.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Evaluation metrics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Primary metrics were: (i) weighted interval score (WIS), computed for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central 90% prediction interval per Bracher et al. (16); (ii) 90% empirical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coverage, reported as numerator/denominator (e.g., 16/28) and fraction;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(iii) mean 90% interval width; (iv) mean absolute error (MAE) against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median prediction; (v) Brier score for any reported case (threshold: ≥1 case).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Lower WIS indicates better combined sharpness and calibration. Coverage near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0.90 is nominal; below-nominal coverage indicates underestimated uncertainty;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above-nominal indicates over-wide intervals. No model was ranked by WIS alone: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coverage and interval width must be read jointly with WIS to characterize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calibration–sharpness tradeoff.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Sensitivity analyses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Three sensitivity scenarios were pre-specified: (i) all 142 rows (primary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analysis); (ii) excluding grade-C rows, removing Belgium 2023 and Cyprus 2023;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and (iii) excluding 2020–2021 COVID-era training rows, where sample size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permitted. Because COVID-era health-system disruption may have affected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reporting completeness and behavior, the third scenario tested whether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main negative result depended on potentially anomalous training data.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Ethics and reproducibility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This study used aggregate, country-year public surveillance data. No individual-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level, clinical, address-level, or restricted human-subject data were used;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institutional review was not required. All analysis code, processed public-data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tables, and data dictionaries are archived at https://doi.org/10.5281/zenodo.20150542.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Results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Dataset reconciliation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rebuilt ECDC case table contained 142 country-year rows across 28–29 EU/EEA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countries for 2019–2023. Annual totals reconciled exactly to ECDC published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figures: 4,088 cases in 2019, 1,693 in 2020, 4,947 in 2021, 2,185 in 2022,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1,885 in 2023 (Table 1). The marked decrease in 2020 and partial recovery in 2021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likely reflect both natural rodent population dynamics and COVID-era reporting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disruptions that are documented in ECDC surveillance notes. Of 142 rows, 140 were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grade B (comprehensive); Belgium 2023 and Cyprus 2023 were assigned grade C.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 missing values were present for World Bank or FAOSTAT covariates. TerraClimate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lag-1 climate features were complete for all 114 non-2019 country-year rows.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MODIS vegetation data were excluded from the analysis because quality-masked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aggregation did not pass the pre-specified gate.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Baseline performance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Validation year (2022, n = 29 countries).</w:t>
      </w:r>
      <w:r>
        <w:rPr>
          <w:rFonts w:ascii="Times New Roman" w:hAnsi="Times New Roman"/>
          <w:b w:val="0"/>
          <w:i w:val="0"/>
          <w:sz w:val="24"/>
        </w:rPr>
        <w:t xml:space="preserve"> The empirical negative-binomial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baseline achieved the lowest WIS (47.17) and complete 90% coverage (29/29,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100%), but at the cost of very wide prediction intervals (mean width 694.2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reported cases; Table 2). The country historical mean-rate baseline had narrower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intervals (21.07 cases) but higher WIS (65.58) and below-nominal coverage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(18/29, 62%). The last-observed country-rate baseline performed poorly in 2022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(WIS 101.5; coverage 16/29, 55%).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Test year (2023, n = 28 countries).</w:t>
      </w:r>
      <w:r>
        <w:rPr>
          <w:rFonts w:ascii="Times New Roman" w:hAnsi="Times New Roman"/>
          <w:b w:val="0"/>
          <w:i w:val="0"/>
          <w:sz w:val="24"/>
        </w:rPr>
        <w:t xml:space="preserve"> The last-observed country-rate baseline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achieved the lowest WIS (42.86) and the narrowest mean prediction intervals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(14.61 reported cases), but its 90% empirical coverage was substantially below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nominal (16/28, 57%). The empirical and hierarchical negative-binomial baselines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covered all 28 observed counts (28/28, 100%) but used substantially wider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prediction intervals (mean width approximately 660 reported cases). The country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historical mean-rate baseline had an intermediate WIS (52.47) but below-nominal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coverage (15/28, 54%).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2023 results exposed a pronounced calibration–sharpness tradeoff (Figure 2):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sharpest baseline undercovered observed counts; the best-covering baselines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used implausibly wide intervals that would be uninformative for surveillance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communication. No single baseline simultaneously achieved near-nominal 90%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coverage and meaningfully narrow prediction intervals.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Covariate-block evaluation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None of the five covariate blocks passed the pre-specified promotion rule in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2023 test year. The best-performing covariate block in 2023 was the land-use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block (mean WIS 318.5; 90% coverage 19/28, 68%), which was more than seven times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worse on WIS than the best simple baseline (42.86). The all-public feature set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had the worst 2023 WIS among covariate blocks (331.3; coverage 18/28, 64%). All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covariate blocks showed substantial WIS deterioration from the 2022 validation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year to the 2023 test year: for example, the all-public block was better than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last-observed baseline in 2022 but worse than the country historical mean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baseline (WIS 74.46 vs. 65.58), then degraded sharply in 2023. This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validation-to-test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instability indicates that the covariate associations learned on the 2019–2021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training window did not transfer reliably to the 2023 test year. Public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demographic, land-use, and climate covariates did not provide a stable,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calibrated improvement over surveillance history at the country-year annual scale.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Penalized Poisson count model (exploratory)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best-performing penalized Poisson model in 2023 used the land-use feature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set with penalty parameter α = 0.01 (mean WIS 159.4; 90% coverage 9/28, 32%).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This model failed the promotion rule on every criterion: WIS was more than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three times worse than the best simple baseline; coverage was approximately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one-third of the nominal 90%; interval width was narrow (28.82 cases) because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model's point estimates were too certain, producing sharp but systematically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miscalibrated forecasts. The count model exploratory results are consistent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with the gradient-boosting covariate-block evaluation: public annual covariates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do not provide the signal needed to support calibrated country-level forecasts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for sparse EU/EEA hantavirus data.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Country-level incidence map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Figure 1 shows country-level reported hantavirus incidence per 100,000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population for 2023. Incidence was highest in Finland and Germany, consistent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with the known ecology of Puumala virus and bank vole population peaks in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northern Europe in that year. Most EU/EEA countries reported fewer than 1 case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per 100,000 or zero cases. Several countries — particularly in southern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eastern Europe — reported zero cases, reflecting a combination of genuine low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incidence and possible underdiagnosis or underreporting under heterogeneous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national surveillance systems. The map shows country-level surveillance totals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only; no within-country spatial variation is implied.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/>
          <w:sz w:val="24"/>
        </w:rPr>
        <w:t>Sensitivity analyses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Excluding grade-C rows (Belgium and Cyprus 2023, n = 26 test countries) did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not change the main conclusion: the best covariate block (land use) had 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2023 WIS of 341.6 (vs. 318.5 in the primary analysis), and covariate-augmented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models did not outperform simple surveillance-history baselines. Excluding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2020–2021 COVID-era training rows shifted numerical WIS values but did not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reverse the negative result; the all-public covariate block under this scenario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had a 2023 WIS of 75.85, above the best simple baseline, and approached nominal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coverage only with very wide intervals (89% coverage; mean width 764 cases).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central finding was robust across all three sensitivity scenarios.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Discussion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central finding of this benchmark is that sparse annual country-level EU/EEA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public surveillance data support transparent probabilistic evaluation but not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stable covariate-driven prediction. In 2023, the lowest WIS was achieved by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 simple last-observed country-rate baseline, yet this baseline undercovered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observed counts. Negative-binomial baselines achieved complete empirical coverage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by producing prediction intervals that span hundreds of reported cases —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intervals that are nominally correct but operationally uninformative.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 covariate-augmented model improved upon both dimensions simultaneously. The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negative result is the public-health result: sparse annual public data did not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support stable covariate-driven improvement over simple surveillance history.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This finding should temper operational claims and motivate better surveillance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inputs rather than more complex modeling.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For routine surveillance practice, the benchmark establishes two concrete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standards. First, any model proposed for EU/EEA hantavirus surveillance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evaluation should be assessed against both WIS and 90% empirical coverage,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not against point accuracy alone. A model that appears to have low mean absolute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error can simultaneously undercover observed counts, overstating confidence in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its predictions. Second, simple baselines — last-observed rate, historical mean —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are stronger than they appear: their median predictions were often closer to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observations than those of covariate-augmented models, and their uncertainty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intervals were narrower and more interpretable than overdispersed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negative-binomial alternatives. Predictive statements from public annual data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without baseline comparisons risk overstating value.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calibration–sharpness tradeoff documented here has direct relevance for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risk communication during periods of heightened public attention to hantavirus.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When a surveillance system can produce a sharp forecast (narrow interval, low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WIS) only by systematically undercovering observed values, that sharpness is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an artifact of overconfidence rather than genuine predictive signal. Communicating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this tradeoff to public health practitioners and to the media can help prevent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false precision that follows from reporting a point estimate without its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calibration context. The social amplification of risk literature documents how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overconfident quantitative claims can amplify public concern disproportionately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to epidemiologic probability (8); transparent calibration benchmarks provide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practitioners with the evidence needed to resist this amplification.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value of this benchmark is not that it produces a deployable predictor.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Its value is that it makes false precision visible.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data limitations identified by this benchmark point toward productive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surveillance improvements. Subnational data, where rodent habitat is more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homogeneous, would reduce ecological aggregation bias. Systematic reservoir host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density data would provide mechanistic signal that public climate and land-use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covariates cannot. Longer comparable annual panels would improve training sample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size and reduce dependence on COVID-era data. Better harmonization of case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definitions and surveillance completeness reporting across EU/EEA member states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would reduce the noise currently captured by quality-grade flags. These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structural improvements are more useful than adding coarser public covariates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to an already sparse annual panel.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Limitations. This benchmark has five annual reporting years, which severely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limits statistical power to detect covariate effects. Country-year aggregation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masks within-country spatial and temporal heterogeneity in exposure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reporting. Reported incidence reflects reporting completeness and health-seeking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behavior as well as true infection burden; the benchmark evaluates reported counts,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not unbiased burden estimates. Reporting heterogeneity across EU/EEA member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states is documented but not fully modeled. Belgium 2023 and Cyprus 2023 carry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grade-C quality flags for surveillance-system changes. The 2020–2021 training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years may reflect COVID-era health-system disruptions that altered reporting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independently of true hantavirus incidence. All evaluations are retrospective;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 prospective validation was conducted. No causal inference is made from any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covariate association. MODIS vegetation data were excluded because quality-masked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aggregation did not pass the pre-specified gate; vegetation claims are not made.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Results apply specifically to EU/EEA public annual reported surveillance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should not be generalized to other surveillance systems, syndrome definitions,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geographic settings, or temporal resolutions. This benchmark does not model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human-to-human hantavirus transmission; no such modeling was attempted.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Conclusion. An open reproducible benchmark for reported hantavirus incidence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 EU/EEA countries, 2019–2023, shows that simple surveillance-history baselines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are difficult to beat with public annual country-level data. The calibration–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sharpness tradeoff documented here quantifies the uncertainty that public health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practitioners should acknowledge when interpreting or communicating annual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hantavirus surveillance data, particularly during periods of heightened public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attention to rare zoonotic events. Improving surveillance infrastructure —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subnational resolution, longer panels, systematic reservoir data — is a more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productive path to calibrated EU/EEA hantavirus risk assessment than adding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coarse public covariates to sparse annual counts.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ACKNOWLEDGMENTS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author thanks the European Centre for Disease Prevention and Control (ECDC)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for publicly accessible Annual Epidemiological Reports, and the following open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data providers: World Bank Open Data, FAOSTAT, TerraClimate, and Natural Earth.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Artificial intelligence assistance was used for manuscript planning, language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editing, and pre-submission quality checks. The author verified all analyses,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references, and claims and accepts responsibility for the final manuscript. No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AI-generated figures were used.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AUTHOR BIOGRAPHY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Julian Juan is an independent researcher interested in reproducible infectious-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disease surveillance, probabilistic evaluation, and public-health modeling.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REFERENCES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1. Jonsson CB, Figueiredo LT, Vapalahti O. A global perspective on hantavirus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ecology, epidemiology, and disease. Clin Microbiol Rev. 2010;23:412–41.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2. Vaheri A, Henttonen H, Voutilainen L, Mustonen J, Sironen T, Vapalahti O.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Hantavirus infections in Europe and their impact on public health. Rev Med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Virol. 2013;23:35–49.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3. World Health Organization. Hantavirus fact sheet. Geneva: WHO; 2026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[cited 2026 May 13]. https://www.who.int/news-room/fact-sheets/detail/hantavirus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4. European Centre for Disease Prevention and Control. Hantavirus infection.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In: ECDC. Annual Epidemiological Report for 2023. Stockholm: ECDC; 2025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[cited 2026 May 13]. https://www.ecdc.europa.eu/en/publications-data/hantavirus-infection-annual-epidemiological-report-2023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5. Voutilainen L, Sironen T, Tonteri E, Balk-Moller NC, Iivanainen A, Niemimaa J,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et al. Life-long antibody responses and evidence for waning immunity to Puumala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hantavirus in a bank vole population. J Virol. 2015;89:5765–75.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6. World Health Organization. Hantavirus cluster linked to cruise ship travel,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multi-country — Disease Outbreak News. Geneva: WHO; 2026 [cited 2026 May 13].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https://www.who.int/emergencies/disease-outbreak-news/item/2026-DON600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7. European Centre for Disease Prevention and Control. Hantavirus-associated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cluster of illness on a cruise ship: ECDC assessment and recommendations.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Stockholm: ECDC; 2026 [cited 2026 May 13].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https://www.ecdc.europa.eu/en/publications-data/hantavirus-associated-cluster-illness-cruise-ship-ecdc-assessment-and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8. Kasperson RE, Renn O, Slovic P, Brown HS, Emel J, Goble R, et al. The social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amplification of risk: a conceptual framework. Risk Anal. 1988;8:177–87.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9. Zeimes CB, Olsson GE, Ahlm C, Vanwambeke SO. Landscape and local climatic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effects on human Puumala hantavirus incidence — the role of forest spatial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pattern. PeerJ. 2014;2:e541.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10. Kallio ER, Klingström J, Gustafsson E, Manni T, Vaheri A, Henttonen H, et al.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Prolonged survival of Puumala hantavirus outside the host: evidence for indirect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transmission via the environment. J Gen Virol. 2006;87:2127–34.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11. Reusken C, Heyman P. Factors driving hantavirus emergence in Europe.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Curr Opin Virol. 2013;3:92–9.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12. World Bank Open Data. World development indicators [Internet]. Washington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(DC): World Bank; 2024 [cited 2026 May 13].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https://data.worldbank.org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13. Food and Agriculture Organization of the United Nations. FAOSTAT land use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[Internet]. Rome: FAO; 2024 [cited 2026 May 13].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https://www.fao.org/faostat/en/#data/RL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14. Abatzoglou JT, Dobrowski SZ, Parks SA, Hegewisch KC. TerraClimate, 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high-resolution global dataset of monthly climate and climatic water balance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from 1958–2015. Sci Data. 2018;5:170191.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15. Natural Earth. Natural Earth: free vector and raster map data [Internet].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2024 [cited 2026 May 13]. https://www.naturalearthdata.com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16. Bracher J, Ray EL, Gneiting T, Reich NG. Evaluating epidemic forecasts in 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interval format. PLoS Comput Biol. 2021;17:e1008618.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TABLE LEGENDS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Table 1. Source and quality audit for the EU/EEA hantavirus incidence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benchmark, 2019–2023. ECDC = European Centre for Disease Prevention and Control;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FAOSTAT = Food and Agriculture Organization Corporate Statistical Database;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GDP = gross domestic product; NDVI = normalized difference vegetation index;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EVI = enhanced vegetation index; QA = quality assurance.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Table 2. Core benchmark performance for 2022 (validation) and 2023 (test)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evaluation years. WIS = weighted interval score (lower is better); Coverage =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90% empirical coverage (fraction of observed counts inside the 90% prediction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interval, reported as numerator/total); Width = mean 90% interval width in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reported cases; MAE = mean absolute error against median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prediction; Brier = Brier score for any reported case (threshold ≥1 case).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Bold indicates best value per column per evaluation year. NB = negative binomial.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FIGURE LEGENDS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Figure 1. Country-level reported hantavirus incidence per 100,000 population,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EU/EEA, 2023. Data source: ECDC Annual Epidemiological Report for 2023.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Map projection: ETRS89/LAEA Europe (EPSG:3035). Boundaries: Natural Earth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1:50m Admin-0. Gray indicates countries for which data were not reported or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available. Map reflects country-level annual reported surveillance totals;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 within-country spatial variation is implied. Belgium 2023 and Cyprus 2023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are quality grade C (surveillance-system changes).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Figure 2. Calibration–sharpness tradeoff for 2023 one-year-ahead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probabilistic forecasts. Each point represents one model or covariate block.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x-axis: mean 90% prediction interval width (reported cases);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y-axis: mean weighted interval score (lower is better). Point shape indicates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model family: circles = simple surveillance-history baselines; squares =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negative-binomial baselines; triangles = covariate blocks (gradient boosting);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diamonds = penalized Poisson count models. Key labeled points are annotated.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 single model achieved both low WIS and near-nominal coverage simultaneously: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last-observed country-rate baseline (lowest WIS, 42.86) undercovered observed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counts (16/28, 57%); the empirical negative-binomial baseline (best coverage,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28/28, 100%) used intervals approximately 45-fold wider.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TABLES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Table 1. Source and quality audit for the EU/EEA hantavirus incidence benchmark, 2019–2023.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Arial" w:hAnsi="Arial"/>
                <w:b/>
                <w:i w:val="0"/>
                <w:sz w:val="16"/>
              </w:rPr>
              <w:t>Component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i w:val="0"/>
                <w:sz w:val="16"/>
              </w:rPr>
              <w:t>Years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i w:val="0"/>
                <w:sz w:val="16"/>
              </w:rPr>
              <w:t>Rows/Coverage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i w:val="0"/>
                <w:sz w:val="16"/>
              </w:rPr>
              <w:t>QA result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i w:val="0"/>
                <w:sz w:val="16"/>
              </w:rPr>
              <w:t>Manuscript use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Reported cases/incidence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ECDC Annual Epidemiological Report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2019–2023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142 country-years; 28–29 countries/year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PASS — totals reconcile exactly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Primary outcome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Population, rurality, GDP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World Bank Open Data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2019–2023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142 rows; no missing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PASS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Covariate block: demographic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Land-use shares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FAOSTAT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2019–2023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142 rows; no missing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PASS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Covariate block: land use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Climate/water balance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TerraClimate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2018–2023 (lag-1 for 2019–2023)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142 rows current year; 114 rows lag-1 complete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PASS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Covariate block: climate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Country boundaries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Natural Earth (1:50m Admin-0)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28–29 countries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PASS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Maps and spatial aggregation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NDVI/EVI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MODIS MOD13C2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 (excluded)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FAIL — QA-masked aggregation not implemented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Excluded; no vegetation claims</w:t>
            </w:r>
          </w:p>
        </w:tc>
      </w:tr>
    </w:tbl>
    <w:p/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Note: Belgium 2023 and Cyprus 2023 are quality grade C (surveillance-system changes); all other rows are grade B (comprehensive).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Table 2. Core benchmark performance for 2022 (validation) and 2023 (test) evaluation years.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Year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Model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WIS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Coverage, n/N (%)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Width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MAE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Brier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Country historical mean rate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65.58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18/29 (62%)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21.07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69.79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0.025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Last-observed country rate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101.5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16/29 (55%)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24.55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108.1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0.033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Empirical NB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47.17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29/29 (100%)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694.2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72.1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0.158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Hierarchical NB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47.38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29/29 (100%)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693.5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72.79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0.198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Best covariate block (all public)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74.46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22/29 (76%)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264.9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109.9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0.386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Best penalized Poisson (land use)†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Country historical mean rate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52.47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15/28 (54%)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20.61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58.14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0.036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Last-observed country rate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42.86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16/28 (57%)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14.61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47.11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0.061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Empirical NB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43.75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i w:val="0"/>
                <w:sz w:val="16"/>
              </w:rPr>
              <w:t>28/28 (100%)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660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65.25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0.190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Hierarchical NB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43.90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28/28 (100%)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659.4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65.75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0.215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Best covariate block (land use)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318.5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19/28 (68%)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325.9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367.4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0.294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Best penalized Poisson (land use)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159.4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9/28 (32%)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28.82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167.6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0.099</w:t>
            </w:r>
          </w:p>
        </w:tc>
      </w:tr>
    </w:tbl>
    <w:p/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WIS = weighted interval score (lower is better). Width = mean 90% interval width (reported cases).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Bold indicates best value per column per evaluation year.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† Penalized Poisson 2022 results reflect validation-year WIS used for tuning only; primary evaluation is the 2023 test year.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start="1"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