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480" w:lineRule="auto"/>
        <w:jc w:val="left"/>
      </w:pPr>
      <w:r>
        <w:rPr>
          <w:rFonts w:ascii="Times New Roman" w:hAnsi="Times New Roman"/>
          <w:b/>
          <w:i w:val="0"/>
          <w:sz w:val="28"/>
        </w:rPr>
        <w:t>Cover Letter for Emerging Infectious Diseases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May 14, 2026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To the Editors, </w:t>
      </w:r>
      <w:r>
        <w:rPr>
          <w:rFonts w:ascii="Times New Roman" w:hAnsi="Times New Roman"/>
          <w:b w:val="0"/>
          <w:i/>
          <w:sz w:val="24"/>
        </w:rPr>
        <w:t>Emerging Infectious Diseases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Dear Editors: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We submit "Sparse Public Surveillance Limits Forecasting of Reported Hantavirus Incidence, European Union and European Economic Area, 2019-2023" for consideration as a Research article in </w:t>
      </w:r>
      <w:r>
        <w:rPr>
          <w:rFonts w:ascii="Times New Roman" w:hAnsi="Times New Roman"/>
          <w:b w:val="0"/>
          <w:i/>
          <w:sz w:val="24"/>
        </w:rPr>
        <w:t>Emerging Infectious Diseases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This manuscript reports a reproducible public-surveillance benchmark for reported hantavirus incidence in EU/EEA countries during 2019-2023. The public-health contribution is not a deployable prediction system. The contribution is a calibration-aware evaluation showing that sparse annual public data do not support strong covariate-driven forecasting claims and that simple surveillance-history baselines remain difficult to beat.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submission package includes an EID-style model-input table listing sources, ranges, missingness rules, and inclusion logic; a model schematic; sensitivity analyses for surveillance-quality caveats and COVID-era training years; leave-one-country-out influence analyses; calibration-localization tables; and a simulation-based detectability screen. Together, these analyses support the central conclusion that standardized surveillance metadata and calibrated uncertainty reporting are prerequisites for credible pan-European annual hantavirus forecasting from public data.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manuscript does not claim operational risk prediction, causal environmental drivers, individual-level risk, within-country risk, or generalizability beyond EU/EEA annual reported surveillance. All analyses are retrospective. No individual-level, clinical, address-level, or restricted data were used; institutional review was not required.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All analysis code, processed public-data tables, and reproducibility scripts are archived at https://doi.org/10.5281/zenodo.20150542. Before final submission, the DOI should be verified against the final clean archive version. Source data are from ECDC, World Bank, FAOSTAT, TerraClimate, and Natural Earth.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Artificial intelligence tools were used to assist with manuscript planning, language editing, and pre-submission quality checks. The author verified all analyses, references, and claims and accepts responsibility for the final manuscript. No AI-generated figures were used.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manuscript has not been submitted elsewhere. The author has no competing interests and received no external funding for this work. The author confirms approval of the final manuscript.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Sincerely,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Julian Juan Independent researcher bubgaming3@gmail.com ORCID: 0009-0003-7234-2245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  <w:lnNumType w:start="1" w:countBy="1" w:restart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