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0" w:line="480" w:lineRule="auto"/>
        <w:jc w:val="left"/>
      </w:pPr>
      <w:r>
        <w:rPr>
          <w:rFonts w:ascii="Times New Roman" w:hAnsi="Times New Roman"/>
          <w:b/>
          <w:i w:val="0"/>
          <w:sz w:val="24"/>
        </w:rPr>
        <w:t>TITLE PAGE</w:t>
      </w:r>
    </w:p>
    <w:p>
      <w:pPr>
        <w:spacing w:before="0" w:after="0" w:line="480" w:lineRule="auto"/>
        <w:jc w:val="left"/>
      </w:pPr>
      <w:r>
        <w:rPr>
          <w:rFonts w:ascii="Times New Roman" w:hAnsi="Times New Roman"/>
          <w:b/>
          <w:i w:val="0"/>
          <w:sz w:val="24"/>
        </w:rPr>
        <w:t>Title:</w:t>
      </w:r>
      <w:r>
        <w:rPr>
          <w:rFonts w:ascii="Times New Roman" w:hAnsi="Times New Roman"/>
          <w:b w:val="0"/>
          <w:i w:val="0"/>
          <w:sz w:val="24"/>
        </w:rPr>
        <w:t xml:space="preserve"> Sparse Public Surveillance Limits Forecasting of Reported Hantavirus Incidence, European Union and European Economic Area, 2019-2023</w:t>
      </w:r>
    </w:p>
    <w:p>
      <w:pPr>
        <w:spacing w:before="0" w:after="0" w:line="480" w:lineRule="auto"/>
        <w:jc w:val="left"/>
      </w:pPr>
      <w:r>
        <w:rPr>
          <w:rFonts w:ascii="Times New Roman" w:hAnsi="Times New Roman"/>
          <w:b/>
          <w:i w:val="0"/>
          <w:sz w:val="24"/>
        </w:rPr>
        <w:t>Running head:</w:t>
      </w:r>
      <w:r>
        <w:rPr>
          <w:rFonts w:ascii="Times New Roman" w:hAnsi="Times New Roman"/>
          <w:b w:val="0"/>
          <w:i w:val="0"/>
          <w:sz w:val="24"/>
        </w:rPr>
        <w:t xml:space="preserve"> Hantavirus Forecasting Limits</w:t>
      </w:r>
    </w:p>
    <w:p>
      <w:pPr>
        <w:spacing w:before="0" w:after="0" w:line="480" w:lineRule="auto"/>
        <w:jc w:val="left"/>
      </w:pPr>
      <w:r>
        <w:rPr>
          <w:rFonts w:ascii="Times New Roman" w:hAnsi="Times New Roman"/>
          <w:b/>
          <w:i w:val="0"/>
          <w:sz w:val="24"/>
        </w:rPr>
        <w:t>Author:</w:t>
      </w:r>
      <w:r>
        <w:rPr>
          <w:rFonts w:ascii="Times New Roman" w:hAnsi="Times New Roman"/>
          <w:b w:val="0"/>
          <w:i w:val="0"/>
          <w:sz w:val="24"/>
        </w:rPr>
        <w:t xml:space="preserve"> Julian Juan</w:t>
      </w:r>
    </w:p>
    <w:p>
      <w:pPr>
        <w:spacing w:before="0" w:after="0" w:line="480" w:lineRule="auto"/>
        <w:jc w:val="left"/>
      </w:pPr>
      <w:r>
        <w:rPr>
          <w:rFonts w:ascii="Times New Roman" w:hAnsi="Times New Roman"/>
          <w:b/>
          <w:i w:val="0"/>
          <w:sz w:val="24"/>
        </w:rPr>
        <w:t>Affiliation:</w:t>
      </w:r>
      <w:r>
        <w:rPr>
          <w:rFonts w:ascii="Times New Roman" w:hAnsi="Times New Roman"/>
          <w:b w:val="0"/>
          <w:i w:val="0"/>
          <w:sz w:val="24"/>
        </w:rPr>
        <w:t xml:space="preserve"> Independent researcher</w:t>
      </w:r>
    </w:p>
    <w:p>
      <w:pPr>
        <w:spacing w:before="0" w:after="0" w:line="480" w:lineRule="auto"/>
        <w:jc w:val="left"/>
      </w:pPr>
      <w:r>
        <w:rPr>
          <w:rFonts w:ascii="Times New Roman" w:hAnsi="Times New Roman"/>
          <w:b/>
          <w:i w:val="0"/>
          <w:sz w:val="24"/>
        </w:rPr>
        <w:t>ORCID:</w:t>
      </w:r>
      <w:r>
        <w:rPr>
          <w:rFonts w:ascii="Times New Roman" w:hAnsi="Times New Roman"/>
          <w:b w:val="0"/>
          <w:i w:val="0"/>
          <w:sz w:val="24"/>
        </w:rPr>
        <w:t xml:space="preserve"> 0009-0003-7234-2245</w:t>
      </w:r>
    </w:p>
    <w:p>
      <w:pPr>
        <w:spacing w:before="0" w:after="0" w:line="480" w:lineRule="auto"/>
        <w:jc w:val="left"/>
      </w:pPr>
      <w:r>
        <w:rPr>
          <w:rFonts w:ascii="Times New Roman" w:hAnsi="Times New Roman"/>
          <w:b/>
          <w:i w:val="0"/>
          <w:sz w:val="24"/>
        </w:rPr>
        <w:t>Corresponding author:</w:t>
      </w:r>
      <w:r>
        <w:rPr>
          <w:rFonts w:ascii="Times New Roman" w:hAnsi="Times New Roman"/>
          <w:b w:val="0"/>
          <w:i w:val="0"/>
          <w:sz w:val="24"/>
        </w:rPr>
        <w:t xml:space="preserve"> Julian Juan Email: bubgaming3@gmail.com Mailing address and phone: to be supplied in the submission portal.</w:t>
      </w:r>
    </w:p>
    <w:p>
      <w:pPr>
        <w:spacing w:before="0" w:after="0" w:line="480" w:lineRule="auto"/>
        <w:jc w:val="left"/>
      </w:pPr>
      <w:r>
        <w:rPr>
          <w:rFonts w:ascii="Times New Roman" w:hAnsi="Times New Roman"/>
          <w:b/>
          <w:i w:val="0"/>
          <w:sz w:val="24"/>
        </w:rPr>
        <w:t>Word count (abstract):</w:t>
      </w:r>
      <w:r>
        <w:rPr>
          <w:rFonts w:ascii="Times New Roman" w:hAnsi="Times New Roman"/>
          <w:b w:val="0"/>
          <w:i w:val="0"/>
          <w:sz w:val="24"/>
        </w:rPr>
        <w:t xml:space="preserve"> 129</w:t>
      </w:r>
    </w:p>
    <w:p>
      <w:pPr>
        <w:spacing w:before="0" w:after="0" w:line="480" w:lineRule="auto"/>
        <w:jc w:val="left"/>
      </w:pPr>
      <w:r>
        <w:rPr>
          <w:rFonts w:ascii="Times New Roman" w:hAnsi="Times New Roman"/>
          <w:b/>
          <w:i w:val="0"/>
          <w:sz w:val="24"/>
        </w:rPr>
        <w:t>Word count (text, excluding abstract, acknowledgments, references, tables, figure legends):</w:t>
      </w:r>
      <w:r>
        <w:rPr>
          <w:rFonts w:ascii="Times New Roman" w:hAnsi="Times New Roman"/>
          <w:b w:val="0"/>
          <w:i w:val="0"/>
          <w:sz w:val="24"/>
        </w:rPr>
        <w:t xml:space="preserve"> 1,706</w:t>
      </w:r>
    </w:p>
    <w:p>
      <w:pPr>
        <w:spacing w:before="0" w:after="0" w:line="480" w:lineRule="auto"/>
        <w:jc w:val="left"/>
      </w:pPr>
      <w:r>
        <w:rPr>
          <w:rFonts w:ascii="Times New Roman" w:hAnsi="Times New Roman"/>
          <w:b/>
          <w:i w:val="0"/>
          <w:sz w:val="24"/>
        </w:rPr>
        <w:t>One-sentence summary:</w:t>
      </w:r>
      <w:r>
        <w:rPr>
          <w:rFonts w:ascii="Times New Roman" w:hAnsi="Times New Roman"/>
          <w:b w:val="0"/>
          <w:i w:val="0"/>
          <w:sz w:val="24"/>
        </w:rPr>
        <w:t xml:space="preserve"> Sparse annual public surveillance data did not support stable, calibrated covariate-driven forecasts of reported EU/EEA hantavirus incidence.</w:t>
      </w:r>
    </w:p>
    <w:p>
      <w:pPr>
        <w:spacing w:before="0" w:after="0" w:line="480" w:lineRule="auto"/>
        <w:jc w:val="left"/>
      </w:pPr>
      <w:r>
        <w:rPr>
          <w:rFonts w:ascii="Times New Roman" w:hAnsi="Times New Roman"/>
          <w:b/>
          <w:i w:val="0"/>
          <w:sz w:val="24"/>
        </w:rPr>
        <w:t>Keywords:</w:t>
      </w:r>
      <w:r>
        <w:rPr>
          <w:rFonts w:ascii="Times New Roman" w:hAnsi="Times New Roman"/>
          <w:b w:val="0"/>
          <w:i w:val="0"/>
          <w:sz w:val="24"/>
        </w:rPr>
        <w:t xml:space="preserve"> hantavirus; zoonoses; disease surveillance; European Union; European Economic Area; probabilistic forecasting; calibration; public health surveillance</w:t>
      </w:r>
    </w:p>
    <w:p>
      <w:pPr>
        <w:spacing w:before="120" w:after="0" w:line="480" w:lineRule="auto"/>
        <w:jc w:val="left"/>
      </w:pPr>
      <w:r>
        <w:rPr>
          <w:rFonts w:ascii="Times New Roman" w:hAnsi="Times New Roman"/>
          <w:b/>
          <w:i w:val="0"/>
          <w:sz w:val="24"/>
        </w:rPr>
        <w:t>ABSTRACT</w:t>
      </w:r>
    </w:p>
    <w:p>
      <w:pPr>
        <w:spacing w:before="0" w:after="0" w:line="480" w:lineRule="auto"/>
        <w:jc w:val="left"/>
      </w:pPr>
      <w:r>
        <w:rPr>
          <w:rFonts w:ascii="Times New Roman" w:hAnsi="Times New Roman"/>
          <w:b w:val="0"/>
          <w:i w:val="0"/>
          <w:sz w:val="24"/>
        </w:rPr>
        <w:t>Public hantavirus surveillance reports are essential for public health monitoring, but their ability to support country-level forecasting across heterogeneous surveillance systems is unclear. We assembled a European Union/European Economic Area country-year benchmark of reported hantavirus incidence for 2019-2023 and linked labels to public demographic, land-use, climate, and source-quality covariates. We compared surveillance baselines and low-dimensional public-covariate models using one-year-ahead probabilistic evaluation, weighted interval score, 90% empirical coverage, interval width, mean absolute error, Brier score, and sensitivity analyses. Public covariates did not provide stable, calibrated improvement on the 2023 test year; sharp models undercovered observations, whereas overdispersed baselines used wide intervals. Sensitivity, country-influence, calibration-localization, and detectability analyses supported a conservative interpretation. Standardized completeness metadata, longer comparable panels, and calibrated uncertainty reporting are prerequisites for stronger pan-European hantavirus forecasting.</w:t>
      </w:r>
    </w:p>
    <w:p>
      <w:pPr>
        <w:spacing w:before="120" w:after="0" w:line="480" w:lineRule="auto"/>
        <w:jc w:val="left"/>
      </w:pPr>
      <w:r>
        <w:rPr>
          <w:rFonts w:ascii="Times New Roman" w:hAnsi="Times New Roman"/>
          <w:b/>
          <w:i w:val="0"/>
          <w:sz w:val="24"/>
        </w:rPr>
        <w:t>TEXT</w:t>
      </w:r>
    </w:p>
    <w:p>
      <w:pPr>
        <w:spacing w:before="120" w:after="0" w:line="480" w:lineRule="auto"/>
        <w:jc w:val="left"/>
      </w:pPr>
      <w:r>
        <w:rPr>
          <w:rFonts w:ascii="Times New Roman" w:hAnsi="Times New Roman"/>
          <w:b/>
          <w:i w:val="0"/>
          <w:sz w:val="24"/>
        </w:rPr>
        <w:t>Introduction</w:t>
      </w:r>
    </w:p>
    <w:p>
      <w:pPr>
        <w:spacing w:before="0" w:after="0" w:line="480" w:lineRule="auto"/>
        <w:jc w:val="left"/>
      </w:pPr>
      <w:r>
        <w:rPr>
          <w:rFonts w:ascii="Times New Roman" w:hAnsi="Times New Roman"/>
          <w:b w:val="0"/>
          <w:i w:val="0"/>
          <w:sz w:val="24"/>
        </w:rPr>
        <w:t>Hantaviruses are rodentborne viruses transmitted to humans primarily through contact with infected rodent excreta (1). In Europe, most reported human disease is hemorrhagic fever with renal syndrome, especially Puumala virus infection linked to bank vole reservoirs in northern and central Europe (2). Public surveillance is central to monitoring this zoonosis, but reported cases reflect testing, ascertainment, case definitions, and national surveillance systems as well as true infection pressure.</w:t>
      </w:r>
    </w:p>
    <w:p>
      <w:pPr>
        <w:spacing w:before="0" w:after="0" w:line="480" w:lineRule="auto"/>
        <w:jc w:val="left"/>
      </w:pPr>
      <w:r>
        <w:rPr>
          <w:rFonts w:ascii="Times New Roman" w:hAnsi="Times New Roman"/>
          <w:b w:val="0"/>
          <w:i w:val="0"/>
          <w:sz w:val="24"/>
        </w:rPr>
        <w:t>The European Centre for Disease Prevention and Control (ECDC) reported 1,885 confirmed and probable hantavirus infection cases from 28 EU/EEA countries in 2023, a notification rate of 0.4 cases per 100,000 population; Finland and Germany accounted for 60.5% of reported cases (3). The 2023 and 2020 notification rates were the lowest in 2019-2023. ECDC also documented important source-quality caveats: Belgium's 2023 surveillance system was no longer comprehensive, Cyprus had unspecified surveillance context, Denmark and Iceland did not report 2023 data, and the United Kingdom had no ECDC data from 2020 onward after EU withdrawal (3).</w:t>
      </w:r>
    </w:p>
    <w:p>
      <w:pPr>
        <w:spacing w:before="0" w:after="0" w:line="480" w:lineRule="auto"/>
        <w:jc w:val="left"/>
      </w:pPr>
      <w:r>
        <w:rPr>
          <w:rFonts w:ascii="Times New Roman" w:hAnsi="Times New Roman"/>
          <w:b w:val="0"/>
          <w:i w:val="0"/>
          <w:sz w:val="24"/>
        </w:rPr>
        <w:t>Forecasting is biologically plausible because hantavirus incidence is linked to rodent host dynamics, mast events, weather, and land cover. However, high-signal models usually rely on granular and internally consistent data. German Puumala studies used district-level data and biologically specific predictors such as weather and beech flowering; those studies reported useful outbreak warning rules but also showed calibration challenges when later high-risk forecasts were not confirmed (4,5). European mapping work demonstrates environmental plausibility but does not answer whether annual public EU/EEA country-year data can support calibrated forecasts (6).</w:t>
      </w:r>
    </w:p>
    <w:p>
      <w:pPr>
        <w:spacing w:before="0" w:after="0" w:line="480" w:lineRule="auto"/>
        <w:jc w:val="left"/>
      </w:pPr>
      <w:r>
        <w:rPr>
          <w:rFonts w:ascii="Times New Roman" w:hAnsi="Times New Roman"/>
          <w:b w:val="0"/>
          <w:i w:val="0"/>
          <w:sz w:val="24"/>
        </w:rPr>
        <w:t>Current public attention to hantavirus can also outpace what annual surveillance data can resolve. In May 2026, WHO and ECDC reported a cruise-ship-associated hantavirus cluster involving Andes virus, a setting and syndrome distinct from European HFRS surveillance (7,8). Such events are not the target of this study, but they illustrate why public health communication needs calibrated uncertainty and clear limits on what surveillance data can support.</w:t>
      </w:r>
    </w:p>
    <w:p>
      <w:pPr>
        <w:spacing w:before="0" w:after="0" w:line="480" w:lineRule="auto"/>
        <w:jc w:val="left"/>
      </w:pPr>
      <w:r>
        <w:rPr>
          <w:rFonts w:ascii="Times New Roman" w:hAnsi="Times New Roman"/>
          <w:b w:val="0"/>
          <w:i w:val="0"/>
          <w:sz w:val="24"/>
        </w:rPr>
        <w:t>We asked whether public demographic, land-use, climate, and source-quality covariates improved calibrated one-year-ahead forecasts of reported EU/EEA country-year hantavirus incidence beyond simple surveillance-history baselines, and whether performance failures were associated with sparse annual reporting and surveillance-completeness caveats.</w:t>
      </w:r>
    </w:p>
    <w:p>
      <w:pPr>
        <w:spacing w:before="120" w:after="0" w:line="480" w:lineRule="auto"/>
        <w:jc w:val="left"/>
      </w:pPr>
      <w:r>
        <w:rPr>
          <w:rFonts w:ascii="Times New Roman" w:hAnsi="Times New Roman"/>
          <w:b/>
          <w:i w:val="0"/>
          <w:sz w:val="24"/>
        </w:rPr>
        <w:t>Materials and Methods</w:t>
      </w:r>
    </w:p>
    <w:p>
      <w:pPr>
        <w:spacing w:before="0" w:after="0" w:line="480" w:lineRule="auto"/>
        <w:jc w:val="left"/>
      </w:pPr>
      <w:r>
        <w:rPr>
          <w:rFonts w:ascii="Times New Roman" w:hAnsi="Times New Roman"/>
          <w:b w:val="0"/>
          <w:i w:val="0"/>
          <w:sz w:val="24"/>
        </w:rPr>
        <w:t>We conducted a retrospective observational forecasting benchmark using public aggregate surveillance data. We followed STROBE principles for observational reporting and EID guidance for statistical and modeling manuscripts (9). The unit of analysis was country-year reported hantavirus incidence, not individual infection risk and not within-country risk.</w:t>
      </w:r>
    </w:p>
    <w:p>
      <w:pPr>
        <w:spacing w:before="0" w:after="0" w:line="480" w:lineRule="auto"/>
        <w:jc w:val="left"/>
      </w:pPr>
      <w:r>
        <w:rPr>
          <w:rFonts w:ascii="Times New Roman" w:hAnsi="Times New Roman"/>
          <w:b w:val="0"/>
          <w:i w:val="0"/>
          <w:sz w:val="24"/>
        </w:rPr>
        <w:t>The outcome labels were manually reconstructed from ECDC Annual Epidemiological Reports for 2019-2023. Rows were joined by ISO3 country code and year to World Bank population, rurality, and GDP indicators; FAOSTAT land-use shares; TerraClimate climate and water-balance summaries; and Natural Earth boundaries (Table 1). MODIS NDVI/EVI was excluded because quality-masked country-year aggregation did not pass the prespecified source-quality gate. All source and model inputs, values/ranges, missingness rules, and lags are listed in Table 1 and the Appendix.</w:t>
      </w:r>
    </w:p>
    <w:p>
      <w:pPr>
        <w:spacing w:before="0" w:after="0" w:line="480" w:lineRule="auto"/>
        <w:jc w:val="left"/>
      </w:pPr>
      <w:r>
        <w:rPr>
          <w:rFonts w:ascii="Times New Roman" w:hAnsi="Times New Roman"/>
          <w:b w:val="0"/>
          <w:i w:val="0"/>
          <w:sz w:val="24"/>
        </w:rPr>
        <w:t>The primary temporal split trained models on 2019-2021 rows, used 2022 for validation and tuning, and locked 2023 as the test year. Target-year case counts were never used as predictors. Imputation parameters and feature screening were estimated on training rows only. Candidate features were removed for high missingness, constancy, duplication, or high training-set correlation before model fitting.</w:t>
      </w:r>
    </w:p>
    <w:p>
      <w:pPr>
        <w:spacing w:before="0" w:after="0" w:line="480" w:lineRule="auto"/>
        <w:jc w:val="left"/>
      </w:pPr>
      <w:r>
        <w:rPr>
          <w:rFonts w:ascii="Times New Roman" w:hAnsi="Times New Roman"/>
          <w:b w:val="0"/>
          <w:i w:val="0"/>
          <w:sz w:val="24"/>
        </w:rPr>
        <w:t>We compared surveillance-history baselines, negative-binomial baselines, covariate-block regression models, and an exploratory ridge-penalized Poisson count model with a population offset. Covariate blocks were nested: surveillance history only; plus demographic context; plus FAOSTAT land use; plus TerraClimate climate and water balance; plus source-quality metadata. The penalized Poisson model was tuned on 2022 validation weighted interval score (WIS); coefficients were not interpreted causally.</w:t>
      </w:r>
    </w:p>
    <w:p>
      <w:pPr>
        <w:spacing w:before="0" w:after="0" w:line="480" w:lineRule="auto"/>
        <w:jc w:val="left"/>
      </w:pPr>
      <w:r>
        <w:rPr>
          <w:rFonts w:ascii="Times New Roman" w:hAnsi="Times New Roman"/>
          <w:b w:val="0"/>
          <w:i w:val="0"/>
          <w:sz w:val="24"/>
        </w:rPr>
        <w:t>Primary metrics were WIS for central 90% intervals, 90% empirical coverage, mean interval width, mean absolute error, and Brier score for any reported case (10). WIS rewards forecasts that are close to observations and have calibrated uncertainty intervals; lower WIS is better. We did not rank models by WIS alone. A covariate model could be promoted only if WIS improved without unacceptable coverage loss, interval width remained interpretable, and sensitivity analyses did not show dependence on flagged rows or high-incidence countries.</w:t>
      </w:r>
    </w:p>
    <w:p>
      <w:pPr>
        <w:spacing w:before="0" w:after="0" w:line="480" w:lineRule="auto"/>
        <w:jc w:val="left"/>
      </w:pPr>
      <w:r>
        <w:rPr>
          <w:rFonts w:ascii="Times New Roman" w:hAnsi="Times New Roman"/>
          <w:b w:val="0"/>
          <w:i w:val="0"/>
          <w:sz w:val="24"/>
        </w:rPr>
        <w:t>EID-specific sensitivity analyses tested exclusion of Belgium 2023, Cyprus 2023, both flagged rows, a retained flagged-row indicator, exclusion of 2020 and 2021 training rows, leave-one-country-out influence, calibration localization, and a null-calibrated simulation-based detectability screen. The simulation used the observed panel structure, actual populations, observed-like overdispersion, observed-like missingness/flag patterns, and effect sizes from none to large. It estimated the probability of selecting a covariate model over a surveillance baseline and the false-positive selection rate when the true effect was zero. These simulations do not validate model skill.</w:t>
      </w:r>
    </w:p>
    <w:p>
      <w:pPr>
        <w:spacing w:before="0" w:after="0" w:line="480" w:lineRule="auto"/>
        <w:jc w:val="left"/>
      </w:pPr>
      <w:r>
        <w:rPr>
          <w:rFonts w:ascii="Times New Roman" w:hAnsi="Times New Roman"/>
          <w:b w:val="0"/>
          <w:i w:val="0"/>
          <w:sz w:val="24"/>
        </w:rPr>
        <w:t>This study used aggregate public data only. No individual-level, clinical, address-level, or restricted human-subject data were used; institutional review was not required. Analysis code and public-data artifacts are archived at the DOI listed in the Data and Code Availability statement; the DOI version must be verified against the final clean submission archive before portal upload.</w:t>
      </w:r>
    </w:p>
    <w:p>
      <w:pPr>
        <w:spacing w:before="120" w:after="0" w:line="480" w:lineRule="auto"/>
        <w:jc w:val="left"/>
      </w:pPr>
      <w:r>
        <w:rPr>
          <w:rFonts w:ascii="Times New Roman" w:hAnsi="Times New Roman"/>
          <w:b/>
          <w:i w:val="0"/>
          <w:sz w:val="24"/>
        </w:rPr>
        <w:t>Results</w:t>
      </w:r>
    </w:p>
    <w:p>
      <w:pPr>
        <w:spacing w:before="0" w:after="0" w:line="480" w:lineRule="auto"/>
        <w:jc w:val="left"/>
      </w:pPr>
      <w:r>
        <w:rPr>
          <w:rFonts w:ascii="Times New Roman" w:hAnsi="Times New Roman"/>
          <w:b w:val="0"/>
          <w:i w:val="0"/>
          <w:sz w:val="24"/>
        </w:rPr>
        <w:t>The benchmark contained 142 country-year rows. Annual totals reconciled exactly to ECDC: 4,088 cases in 2019, 1,693 in 2020, 4,947 in 2021, 2,185 in 2022, and 1,885 in 2023. Belgium 2023 and Cyprus 2023 were the only grade-C source-quality rows. World Bank and FAOSTAT covariates were complete for all rows; TerraClimate lag-1 variables were complete for non-2019 rows.</w:t>
      </w:r>
    </w:p>
    <w:p>
      <w:pPr>
        <w:spacing w:before="0" w:after="0" w:line="480" w:lineRule="auto"/>
        <w:jc w:val="left"/>
      </w:pPr>
      <w:r>
        <w:rPr>
          <w:rFonts w:ascii="Times New Roman" w:hAnsi="Times New Roman"/>
          <w:b w:val="0"/>
          <w:i w:val="0"/>
          <w:sz w:val="24"/>
        </w:rPr>
        <w:t>In validation year 2022, the empirical negative-binomial baseline had the lowest WIS, 47.17, and complete coverage, 29/29, but used wide intervals (mean width 694.2 cases). The country historical mean-rate baseline had narrower intervals (21.07 cases) but lower coverage, 18/29. The best covariate block, all public features, had WIS 74.46 and coverage 22/29 (Table 2).</w:t>
      </w:r>
    </w:p>
    <w:p>
      <w:pPr>
        <w:spacing w:before="0" w:after="0" w:line="480" w:lineRule="auto"/>
        <w:jc w:val="left"/>
      </w:pPr>
      <w:r>
        <w:rPr>
          <w:rFonts w:ascii="Times New Roman" w:hAnsi="Times New Roman"/>
          <w:b w:val="0"/>
          <w:i w:val="0"/>
          <w:sz w:val="24"/>
        </w:rPr>
        <w:t>In the 2023 test year, the last-observed country-rate baseline had the lowest WIS, 42.86, and narrowest intervals (14.61 cases), but undercovered observed counts, 16/28. Negative-binomial baselines covered all observations, 28/28, but used intervals averaging approximately 660 cases. This produced a calibration-sharpness tradeoff rather than a deployable forecasting model (Figure 2).</w:t>
      </w:r>
    </w:p>
    <w:p>
      <w:pPr>
        <w:spacing w:before="0" w:after="0" w:line="480" w:lineRule="auto"/>
        <w:jc w:val="left"/>
      </w:pPr>
      <w:r>
        <w:rPr>
          <w:rFonts w:ascii="Times New Roman" w:hAnsi="Times New Roman"/>
          <w:b w:val="0"/>
          <w:i w:val="0"/>
          <w:sz w:val="24"/>
        </w:rPr>
        <w:t>No public-covariate block passed the promotion rule. The best covariate block in 2023 was land use, with WIS 318.55, coverage 19/28, and mean interval width 325.87 cases. The all-public block had WIS 331.31 and coverage 18/28. The exploratory penalized Poisson land-use model improved over other Poisson variants but failed calibration badly: WIS 159.37 and coverage 9/28. These models were sharper than overdispersed baselines but too miscalibrated for public-health use.</w:t>
      </w:r>
    </w:p>
    <w:p>
      <w:pPr>
        <w:spacing w:before="0" w:after="0" w:line="480" w:lineRule="auto"/>
        <w:jc w:val="left"/>
      </w:pPr>
      <w:r>
        <w:rPr>
          <w:rFonts w:ascii="Times New Roman" w:hAnsi="Times New Roman"/>
          <w:b w:val="0"/>
          <w:i w:val="0"/>
          <w:sz w:val="24"/>
        </w:rPr>
        <w:t>Surveillance-quality sensitivity did not rescue covariate models (Table 3). Excluding Belgium 2023 and Cyprus 2023 left land use as the best covariate block, but WIS worsened to 341.62 and coverage was 17/26. Excluding 2020-2021 training rows produced near-nominal coverage for the all-public block, 25/28, but only with very wide intervals (mean width 764.02 cases) and WIS 75.85, still above the best simple 2023 baseline. A flagged-row indicator did not change the primary ranking.</w:t>
      </w:r>
    </w:p>
    <w:p>
      <w:pPr>
        <w:spacing w:before="0" w:after="0" w:line="480" w:lineRule="auto"/>
        <w:jc w:val="left"/>
      </w:pPr>
      <w:r>
        <w:rPr>
          <w:rFonts w:ascii="Times New Roman" w:hAnsi="Times New Roman"/>
          <w:b w:val="0"/>
          <w:i w:val="0"/>
          <w:sz w:val="24"/>
        </w:rPr>
        <w:t>Leave-one-country-out influence analysis showed that the conclusion was not driven solely by Finland or Germany (Figure 3; Appendix). Removing Finland reduced the best covariate-block WIS from 318.55 to 280.53 and kept the best feature set as land use; removing Germany reduced WIS to 306.35 and also kept land use as best. In neither case did a covariate block beat the best surveillance baseline. Calibration localization showed that 2023 interval failures were distributed across countries and model families rather than limited to one flagged row.</w:t>
      </w:r>
    </w:p>
    <w:p>
      <w:pPr>
        <w:spacing w:before="0" w:after="0" w:line="480" w:lineRule="auto"/>
        <w:jc w:val="left"/>
      </w:pPr>
      <w:r>
        <w:rPr>
          <w:rFonts w:ascii="Times New Roman" w:hAnsi="Times New Roman"/>
          <w:b w:val="0"/>
          <w:i w:val="0"/>
          <w:sz w:val="24"/>
        </w:rPr>
        <w:t>The redesigned detectability screen reported a maximum null covariate-selection probability of 0.000 across tested overdispersion and missingness settings. For moderate and large simulated effects, selection probabilities increased under some scenarios, indicating that the screen could detect strong injected effects under its conservative selection rule. These simulations do not prove that covariates have no biological effect; they indicate that the observed sample structure has limited ability to justify promotion of modest covariate effects.</w:t>
      </w:r>
    </w:p>
    <w:p>
      <w:pPr>
        <w:spacing w:before="120" w:after="0" w:line="480" w:lineRule="auto"/>
        <w:jc w:val="left"/>
      </w:pPr>
      <w:r>
        <w:rPr>
          <w:rFonts w:ascii="Times New Roman" w:hAnsi="Times New Roman"/>
          <w:b/>
          <w:i w:val="0"/>
          <w:sz w:val="24"/>
        </w:rPr>
        <w:t>Discussion</w:t>
      </w:r>
    </w:p>
    <w:p>
      <w:pPr>
        <w:spacing w:before="0" w:after="0" w:line="480" w:lineRule="auto"/>
        <w:jc w:val="left"/>
      </w:pPr>
      <w:r>
        <w:rPr>
          <w:rFonts w:ascii="Times New Roman" w:hAnsi="Times New Roman"/>
          <w:b w:val="0"/>
          <w:i w:val="0"/>
          <w:sz w:val="24"/>
        </w:rPr>
        <w:t>In this retrospective EU/EEA country-year benchmark, public covariates did not provide stable, calibrated improvement over surveillance-history baselines for one-year-ahead reported hantavirus incidence. The practical finding is not that "modeling failed." The finding is that sparse annual public surveillance data create a forecasting ceiling: sharp models undercovered observed counts, whereas well-covered baselines required intervals too wide to guide operational interpretation.</w:t>
      </w:r>
    </w:p>
    <w:p>
      <w:pPr>
        <w:spacing w:before="0" w:after="0" w:line="480" w:lineRule="auto"/>
        <w:jc w:val="left"/>
      </w:pPr>
      <w:r>
        <w:rPr>
          <w:rFonts w:ascii="Times New Roman" w:hAnsi="Times New Roman"/>
          <w:b w:val="0"/>
          <w:i w:val="0"/>
          <w:sz w:val="24"/>
        </w:rPr>
        <w:t>This result has public-health meaning. Before richer environmental covariates can support credible pan-European annual forecasts, surveillance metadata must better distinguish true incidence changes from reporting completeness, case-definition, testing, and ascertainment changes. Standardized completeness flags, harmonized source metadata, longer comparable panels, and explicit uncertainty reporting are likely to improve public surveillance evaluation more than adding coarse public covariates alone.</w:t>
      </w:r>
    </w:p>
    <w:p>
      <w:pPr>
        <w:spacing w:before="0" w:after="0" w:line="480" w:lineRule="auto"/>
        <w:jc w:val="left"/>
      </w:pPr>
      <w:r>
        <w:rPr>
          <w:rFonts w:ascii="Times New Roman" w:hAnsi="Times New Roman"/>
          <w:b w:val="0"/>
          <w:i w:val="0"/>
          <w:sz w:val="24"/>
        </w:rPr>
        <w:t>Our findings do not contradict high-resolution German Puumala warning systems. Those studies used district-level German data and biologically relevant predictors in a more internally consistent setting (4,5). This study tests a harder and different question: what can be inferred from public EU/EEA country-year annual reporting across heterogeneous surveillance systems? The answer is intentionally conservative.</w:t>
      </w:r>
    </w:p>
    <w:p>
      <w:pPr>
        <w:spacing w:before="0" w:after="0" w:line="480" w:lineRule="auto"/>
        <w:jc w:val="left"/>
      </w:pPr>
      <w:r>
        <w:rPr>
          <w:rFonts w:ascii="Times New Roman" w:hAnsi="Times New Roman"/>
          <w:b w:val="0"/>
          <w:i w:val="0"/>
          <w:sz w:val="24"/>
        </w:rPr>
        <w:t>The benchmark also shows why baseline-standardized probabilistic evaluation is valuable for public health forecasting design. EID has published infectious disease forecast-evaluation work using WIS and baseline comparisons to assess practical forecasting systems (11). Here, WIS alone would have favored a sharp baseline in 2023, but coverage showed that the model was overconfident. Reading WIS, coverage, and interval width together prevents false precision.</w:t>
      </w:r>
    </w:p>
    <w:p>
      <w:pPr>
        <w:spacing w:before="0" w:after="0" w:line="480" w:lineRule="auto"/>
        <w:jc w:val="left"/>
      </w:pPr>
      <w:r>
        <w:rPr>
          <w:rFonts w:ascii="Times New Roman" w:hAnsi="Times New Roman"/>
          <w:b w:val="0"/>
          <w:i w:val="0"/>
          <w:sz w:val="24"/>
        </w:rPr>
        <w:t>Limitations are substantial. The panel contains only five annual years and 142 country-year rows. Country-level aggregation masks subnational exposure, reservoir ecology, and reporting heterogeneity. Reported cases are not true infection burden. COVID-era years may reflect health-system disruption. Belgium 2023 and Cyprus 2023 have source-quality caveats. Covariates were public and coarse; no nonpublic subnational surveillance or systematic reservoir data were used. All evaluations were retrospective, and no prospective validation was performed. No causal inference is made from any covariate association, and no within-country risk map is implied by the figures.</w:t>
      </w:r>
    </w:p>
    <w:p>
      <w:pPr>
        <w:spacing w:before="0" w:after="0" w:line="480" w:lineRule="auto"/>
        <w:jc w:val="left"/>
      </w:pPr>
      <w:r>
        <w:rPr>
          <w:rFonts w:ascii="Times New Roman" w:hAnsi="Times New Roman"/>
          <w:b w:val="0"/>
          <w:i w:val="0"/>
          <w:sz w:val="24"/>
        </w:rPr>
        <w:t>An open benchmark for reported hantavirus incidence in EU/EEA countries, 2019-2023, shows that public country-year surveillance is valuable for transparent evaluation but too sparse and heterogeneous for confident covariate-driven forecasting claims. Standardized completeness metadata, longer panels, and calibrated uncertainty reporting are prerequisites for stronger pan-European hantavirus forecasting from public data.</w:t>
      </w:r>
    </w:p>
    <w:p>
      <w:pPr>
        <w:spacing w:before="120" w:after="0" w:line="480" w:lineRule="auto"/>
        <w:jc w:val="left"/>
      </w:pPr>
      <w:r>
        <w:rPr>
          <w:rFonts w:ascii="Times New Roman" w:hAnsi="Times New Roman"/>
          <w:b/>
          <w:i w:val="0"/>
          <w:sz w:val="24"/>
        </w:rPr>
        <w:t>ACKNOWLEDGMENTS</w:t>
      </w:r>
    </w:p>
    <w:p>
      <w:pPr>
        <w:spacing w:before="0" w:after="0" w:line="480" w:lineRule="auto"/>
        <w:jc w:val="left"/>
      </w:pPr>
      <w:r>
        <w:rPr>
          <w:rFonts w:ascii="Times New Roman" w:hAnsi="Times New Roman"/>
          <w:b w:val="0"/>
          <w:i w:val="0"/>
          <w:sz w:val="24"/>
        </w:rPr>
        <w:t>The author thanks ECDC, World Bank Open Data, FAOSTAT, TerraClimate, and Natural Earth for publicly accessible data. Artificial intelligence tools were used to assist with manuscript planning, language editing, and pre-submission quality checks. No confidential or nonpublic data were entered into AI tools. The author verified all analyses, references, and claims and accepts responsibility for the final manuscript. No AI-generated figures were used.</w:t>
      </w:r>
    </w:p>
    <w:p>
      <w:pPr>
        <w:spacing w:before="120" w:after="0" w:line="480" w:lineRule="auto"/>
        <w:jc w:val="left"/>
      </w:pPr>
      <w:r>
        <w:rPr>
          <w:rFonts w:ascii="Times New Roman" w:hAnsi="Times New Roman"/>
          <w:b/>
          <w:i w:val="0"/>
          <w:sz w:val="24"/>
        </w:rPr>
        <w:t>BIOGRAPHICAL SKETCH</w:t>
      </w:r>
    </w:p>
    <w:p>
      <w:pPr>
        <w:spacing w:before="0" w:after="0" w:line="480" w:lineRule="auto"/>
        <w:jc w:val="left"/>
      </w:pPr>
      <w:r>
        <w:rPr>
          <w:rFonts w:ascii="Times New Roman" w:hAnsi="Times New Roman"/>
          <w:b w:val="0"/>
          <w:i w:val="0"/>
          <w:sz w:val="24"/>
        </w:rPr>
        <w:t>Julian Juan is an independent researcher interested in reproducible infectious disease surveillance, probabilistic evaluation, and public-health modeling.</w:t>
      </w:r>
    </w:p>
    <w:p>
      <w:pPr>
        <w:spacing w:before="120" w:after="0" w:line="480" w:lineRule="auto"/>
        <w:jc w:val="left"/>
      </w:pPr>
      <w:r>
        <w:rPr>
          <w:rFonts w:ascii="Times New Roman" w:hAnsi="Times New Roman"/>
          <w:b/>
          <w:i w:val="0"/>
          <w:sz w:val="24"/>
        </w:rPr>
        <w:t>REFERENCES</w:t>
      </w:r>
    </w:p>
    <w:p>
      <w:pPr>
        <w:pStyle w:val="ListNumber"/>
        <w:spacing w:before="0" w:after="0" w:line="480" w:lineRule="auto"/>
        <w:jc w:val="left"/>
      </w:pPr>
      <w:r>
        <w:rPr>
          <w:rFonts w:ascii="Times New Roman" w:hAnsi="Times New Roman"/>
          <w:b w:val="0"/>
          <w:i w:val="0"/>
          <w:sz w:val="24"/>
        </w:rPr>
        <w:t>Jonsson CB, Figueiredo LT, Vapalahti O. A global perspective on hantavirus ecology, epidemiology, and disease. Clin Microbiol Rev. 2010;23:412-41.</w:t>
      </w:r>
    </w:p>
    <w:p>
      <w:pPr>
        <w:pStyle w:val="ListNumber"/>
        <w:spacing w:before="0" w:after="0" w:line="480" w:lineRule="auto"/>
        <w:jc w:val="left"/>
      </w:pPr>
      <w:r>
        <w:rPr>
          <w:rFonts w:ascii="Times New Roman" w:hAnsi="Times New Roman"/>
          <w:b w:val="0"/>
          <w:i w:val="0"/>
          <w:sz w:val="24"/>
        </w:rPr>
        <w:t>Vaheri A, Henttonen H, Voutilainen L, Mustonen J, Sironen T, Vapalahti O. Hantavirus infections in Europe and their impact on public health. Rev Med Virol. 2013;23:35-49.</w:t>
      </w:r>
    </w:p>
    <w:p>
      <w:pPr>
        <w:pStyle w:val="ListNumber"/>
        <w:spacing w:before="0" w:after="0" w:line="480" w:lineRule="auto"/>
        <w:jc w:val="left"/>
      </w:pPr>
      <w:r>
        <w:rPr>
          <w:rFonts w:ascii="Times New Roman" w:hAnsi="Times New Roman"/>
          <w:b w:val="0"/>
          <w:i w:val="0"/>
          <w:sz w:val="24"/>
        </w:rPr>
        <w:t>European Centre for Disease Prevention and Control. Hantavirus infection. In: ECDC. Annual Epidemiological Report for 2023. Stockholm: ECDC; 2025 [cited 2026 May 14]. https://www.ecdc.europa.eu/en/publications-data/hantavirus-infection-annual-epidemiological-report-2023</w:t>
      </w:r>
    </w:p>
    <w:p>
      <w:pPr>
        <w:pStyle w:val="ListNumber"/>
        <w:spacing w:before="0" w:after="0" w:line="480" w:lineRule="auto"/>
        <w:jc w:val="left"/>
      </w:pPr>
      <w:r>
        <w:rPr>
          <w:rFonts w:ascii="Times New Roman" w:hAnsi="Times New Roman"/>
          <w:b w:val="0"/>
          <w:i w:val="0"/>
          <w:sz w:val="24"/>
        </w:rPr>
        <w:t>Kazasidis O, Jacob J. Machine learning identifies straightforward early warning rules for human Puumala hantavirus outbreaks. Sci Rep. 2023;13:3989.</w:t>
      </w:r>
    </w:p>
    <w:p>
      <w:pPr>
        <w:pStyle w:val="ListNumber"/>
        <w:spacing w:before="0" w:after="0" w:line="480" w:lineRule="auto"/>
        <w:jc w:val="left"/>
      </w:pPr>
      <w:r>
        <w:rPr>
          <w:rFonts w:ascii="Times New Roman" w:hAnsi="Times New Roman"/>
          <w:b w:val="0"/>
          <w:i w:val="0"/>
          <w:sz w:val="24"/>
        </w:rPr>
        <w:t>Kazasidis O, Geduhn A, Jacob J. High-resolution early warning system for human Puumala hantavirus infection risk in Germany. Sci Rep. 2024;14:9474.</w:t>
      </w:r>
    </w:p>
    <w:p>
      <w:pPr>
        <w:pStyle w:val="ListNumber"/>
        <w:spacing w:before="0" w:after="0" w:line="480" w:lineRule="auto"/>
        <w:jc w:val="left"/>
      </w:pPr>
      <w:r>
        <w:rPr>
          <w:rFonts w:ascii="Times New Roman" w:hAnsi="Times New Roman"/>
          <w:b w:val="0"/>
          <w:i w:val="0"/>
          <w:sz w:val="24"/>
        </w:rPr>
        <w:t>Zeimes CB, Olsson GE, Ahlm C, Vanwambeke SO. Landscape and regional environmental analysis of the spatial distribution of hantavirus human cases in Europe. Front Public Health. 2015;3:54.</w:t>
      </w:r>
    </w:p>
    <w:p>
      <w:pPr>
        <w:pStyle w:val="ListNumber"/>
        <w:spacing w:before="0" w:after="0" w:line="480" w:lineRule="auto"/>
        <w:jc w:val="left"/>
      </w:pPr>
      <w:r>
        <w:rPr>
          <w:rFonts w:ascii="Times New Roman" w:hAnsi="Times New Roman"/>
          <w:b w:val="0"/>
          <w:i w:val="0"/>
          <w:sz w:val="24"/>
        </w:rPr>
        <w:t>World Health Organization. Hantavirus cluster linked to cruise ship travel, Multi-country. Geneva: WHO; 2026 [cited 2026 May 14]. https://www.who.int/emergencies/disease-outbreak-news/item/2026-DON600</w:t>
      </w:r>
    </w:p>
    <w:p>
      <w:pPr>
        <w:pStyle w:val="ListNumber"/>
        <w:spacing w:before="0" w:after="0" w:line="480" w:lineRule="auto"/>
        <w:jc w:val="left"/>
      </w:pPr>
      <w:r>
        <w:rPr>
          <w:rFonts w:ascii="Times New Roman" w:hAnsi="Times New Roman"/>
          <w:b w:val="0"/>
          <w:i w:val="0"/>
          <w:sz w:val="24"/>
        </w:rPr>
        <w:t>European Centre for Disease Prevention and Control. Hantavirus-associated cluster of illness on a cruise ship: ECDC assessment and recommendations. Stockholm: ECDC; 2026 [cited 2026 May 14]. https://www.ecdc.europa.eu/en/publications-data/hantavirus-associated-cluster-illness-cruise-ship-ecdc-assessment-and</w:t>
      </w:r>
    </w:p>
    <w:p>
      <w:pPr>
        <w:pStyle w:val="ListNumber"/>
        <w:spacing w:before="0" w:after="0" w:line="480" w:lineRule="auto"/>
        <w:jc w:val="left"/>
      </w:pPr>
      <w:r>
        <w:rPr>
          <w:rFonts w:ascii="Times New Roman" w:hAnsi="Times New Roman"/>
          <w:b w:val="0"/>
          <w:i w:val="0"/>
          <w:sz w:val="24"/>
        </w:rPr>
        <w:t>von Elm E, Altman DG, Egger M, Pocock SJ, Gotzsche PC, Vandenbroucke JP. The Strengthening the Reporting of Observational Studies in Epidemiology (STROBE) statement: guidelines for reporting observational studies. PLoS Med. 2007;4:e296.</w:t>
      </w:r>
    </w:p>
    <w:p>
      <w:pPr>
        <w:pStyle w:val="ListNumber"/>
        <w:spacing w:before="0" w:after="0" w:line="480" w:lineRule="auto"/>
        <w:jc w:val="left"/>
      </w:pPr>
      <w:r>
        <w:rPr>
          <w:rFonts w:ascii="Times New Roman" w:hAnsi="Times New Roman"/>
          <w:b w:val="0"/>
          <w:i w:val="0"/>
          <w:sz w:val="24"/>
        </w:rPr>
        <w:t>Bracher J, Ray EL, Gneiting T, Reich NG. Evaluating epidemic forecasts in an interval format. PLoS Comput Biol. 2021;17:e1008618.</w:t>
      </w:r>
    </w:p>
    <w:p>
      <w:pPr>
        <w:pStyle w:val="ListNumber"/>
        <w:spacing w:before="0" w:after="0" w:line="480" w:lineRule="auto"/>
        <w:jc w:val="left"/>
      </w:pPr>
      <w:r>
        <w:rPr>
          <w:rFonts w:ascii="Times New Roman" w:hAnsi="Times New Roman"/>
          <w:b w:val="0"/>
          <w:i w:val="0"/>
          <w:sz w:val="24"/>
        </w:rPr>
        <w:t>Fox SJ, Slayton RB, Johansson MA, Biggerstaff M, Reich NG. Optimizing disease outbreak forecast ensembles. Emerg Infect Dis. 2024;30:1801-9.</w:t>
      </w:r>
    </w:p>
    <w:p>
      <w:pPr>
        <w:pStyle w:val="ListNumber"/>
        <w:spacing w:before="0" w:after="0" w:line="480" w:lineRule="auto"/>
        <w:jc w:val="left"/>
      </w:pPr>
      <w:r>
        <w:rPr>
          <w:rFonts w:ascii="Times New Roman" w:hAnsi="Times New Roman"/>
          <w:b w:val="0"/>
          <w:i w:val="0"/>
          <w:sz w:val="24"/>
        </w:rPr>
        <w:t>World Bank Open Data. World development indicators [Internet]. Washington (DC): World Bank; 2024 [cited 2026 May 14]. https://data.worldbank.org</w:t>
      </w:r>
    </w:p>
    <w:p>
      <w:pPr>
        <w:pStyle w:val="ListNumber"/>
        <w:spacing w:before="0" w:after="0" w:line="480" w:lineRule="auto"/>
        <w:jc w:val="left"/>
      </w:pPr>
      <w:r>
        <w:rPr>
          <w:rFonts w:ascii="Times New Roman" w:hAnsi="Times New Roman"/>
          <w:b w:val="0"/>
          <w:i w:val="0"/>
          <w:sz w:val="24"/>
        </w:rPr>
        <w:t>Food and Agriculture Organization of the United Nations. FAOSTAT land use [Internet]. Rome: FAO; 2024 [cited 2026 May 14]. https://www.fao.org/faostat/en/#data/RL</w:t>
      </w:r>
    </w:p>
    <w:p>
      <w:pPr>
        <w:pStyle w:val="ListNumber"/>
        <w:spacing w:before="0" w:after="0" w:line="480" w:lineRule="auto"/>
        <w:jc w:val="left"/>
      </w:pPr>
      <w:r>
        <w:rPr>
          <w:rFonts w:ascii="Times New Roman" w:hAnsi="Times New Roman"/>
          <w:b w:val="0"/>
          <w:i w:val="0"/>
          <w:sz w:val="24"/>
        </w:rPr>
        <w:t>Abatzoglou JT, Dobrowski SZ, Parks SA, Hegewisch KC. TerraClimate, a high-resolution global dataset of monthly climate and climatic water balance from 1958-2015. Sci Data. 2018;5:170191.</w:t>
      </w:r>
    </w:p>
    <w:p>
      <w:pPr>
        <w:pStyle w:val="ListNumber"/>
        <w:spacing w:before="0" w:after="0" w:line="480" w:lineRule="auto"/>
        <w:jc w:val="left"/>
      </w:pPr>
      <w:r>
        <w:rPr>
          <w:rFonts w:ascii="Times New Roman" w:hAnsi="Times New Roman"/>
          <w:b w:val="0"/>
          <w:i w:val="0"/>
          <w:sz w:val="24"/>
        </w:rPr>
        <w:t>Natural Earth. Natural Earth: free vector and raster map data [Internet]. 2024 [cited 2026 May 14]. https://www.naturalearthdata.com</w:t>
      </w:r>
    </w:p>
    <w:p>
      <w:pPr>
        <w:spacing w:before="120" w:after="0" w:line="480" w:lineRule="auto"/>
        <w:jc w:val="left"/>
      </w:pPr>
      <w:r>
        <w:rPr>
          <w:rFonts w:ascii="Times New Roman" w:hAnsi="Times New Roman"/>
          <w:b/>
          <w:i w:val="0"/>
          <w:sz w:val="24"/>
        </w:rPr>
        <w:t>TABLE LEGENDS</w:t>
      </w:r>
    </w:p>
    <w:p>
      <w:pPr>
        <w:spacing w:before="0" w:after="0" w:line="480" w:lineRule="auto"/>
        <w:jc w:val="left"/>
      </w:pPr>
      <w:r>
        <w:rPr>
          <w:rFonts w:ascii="Times New Roman" w:hAnsi="Times New Roman"/>
          <w:b/>
          <w:i w:val="0"/>
          <w:sz w:val="24"/>
        </w:rPr>
        <w:t>Table 1.</w:t>
      </w:r>
      <w:r>
        <w:rPr>
          <w:rFonts w:ascii="Times New Roman" w:hAnsi="Times New Roman"/>
          <w:b w:val="0"/>
          <w:i w:val="0"/>
          <w:sz w:val="24"/>
        </w:rPr>
        <w:t xml:space="preserve"> Public data sources and model inputs for reported hantavirus incidence forecasting, European Union and European Economic Area, 2019-2023. The complete variable-level table appears in the Appendix.</w:t>
      </w:r>
    </w:p>
    <w:p>
      <w:pPr>
        <w:spacing w:before="0" w:after="0" w:line="480" w:lineRule="auto"/>
        <w:jc w:val="left"/>
      </w:pPr>
      <w:r>
        <w:rPr>
          <w:rFonts w:ascii="Times New Roman" w:hAnsi="Times New Roman"/>
          <w:b/>
          <w:i w:val="0"/>
          <w:sz w:val="24"/>
        </w:rPr>
        <w:t>Table 2.</w:t>
      </w:r>
      <w:r>
        <w:rPr>
          <w:rFonts w:ascii="Times New Roman" w:hAnsi="Times New Roman"/>
          <w:b w:val="0"/>
          <w:i w:val="0"/>
          <w:sz w:val="24"/>
        </w:rPr>
        <w:t xml:space="preserve"> Core benchmark performance for 2022 validation and 2023 test evaluation years. WIS = weighted interval score; Width = mean 90% interval width in reported cases; MAE = mean absolute error; NB = negative binomial.</w:t>
      </w:r>
    </w:p>
    <w:p>
      <w:pPr>
        <w:spacing w:before="0" w:after="0" w:line="480" w:lineRule="auto"/>
        <w:jc w:val="left"/>
      </w:pPr>
      <w:r>
        <w:rPr>
          <w:rFonts w:ascii="Times New Roman" w:hAnsi="Times New Roman"/>
          <w:b/>
          <w:i w:val="0"/>
          <w:sz w:val="24"/>
        </w:rPr>
        <w:t>Table 3.</w:t>
      </w:r>
      <w:r>
        <w:rPr>
          <w:rFonts w:ascii="Times New Roman" w:hAnsi="Times New Roman"/>
          <w:b w:val="0"/>
          <w:i w:val="0"/>
          <w:sz w:val="24"/>
        </w:rPr>
        <w:t xml:space="preserve"> EID-specific sensitivity summary for 2023 test-year covariate-block models. Coverage is reported as numerator/denominator and fraction.</w:t>
      </w:r>
    </w:p>
    <w:p>
      <w:pPr>
        <w:spacing w:before="120" w:after="0" w:line="480" w:lineRule="auto"/>
        <w:jc w:val="left"/>
      </w:pPr>
      <w:r>
        <w:rPr>
          <w:rFonts w:ascii="Times New Roman" w:hAnsi="Times New Roman"/>
          <w:b/>
          <w:i w:val="0"/>
          <w:sz w:val="24"/>
        </w:rPr>
        <w:t>FIGURE LEGENDS</w:t>
      </w:r>
    </w:p>
    <w:p>
      <w:pPr>
        <w:spacing w:before="0" w:after="0" w:line="480" w:lineRule="auto"/>
        <w:jc w:val="left"/>
      </w:pPr>
      <w:r>
        <w:rPr>
          <w:rFonts w:ascii="Times New Roman" w:hAnsi="Times New Roman"/>
          <w:b/>
          <w:i w:val="0"/>
          <w:sz w:val="24"/>
        </w:rPr>
        <w:t>Figure 1.</w:t>
      </w:r>
      <w:r>
        <w:rPr>
          <w:rFonts w:ascii="Times New Roman" w:hAnsi="Times New Roman"/>
          <w:b w:val="0"/>
          <w:i w:val="0"/>
          <w:sz w:val="24"/>
        </w:rPr>
        <w:t xml:space="preserve"> Country-level reported hantavirus incidence per 100,000 population, European Union and European Economic Area, 2023. Map reflects country-level annual reported surveillance totals; no within-country spatial variation is implied. Belgium 2023 and Cyprus 2023 carry source-quality caveats.</w:t>
      </w:r>
    </w:p>
    <w:p>
      <w:pPr>
        <w:spacing w:before="0" w:after="0" w:line="480" w:lineRule="auto"/>
        <w:jc w:val="left"/>
      </w:pPr>
      <w:r>
        <w:rPr>
          <w:rFonts w:ascii="Times New Roman" w:hAnsi="Times New Roman"/>
          <w:b/>
          <w:i w:val="0"/>
          <w:sz w:val="24"/>
        </w:rPr>
        <w:t>Figure 2.</w:t>
      </w:r>
      <w:r>
        <w:rPr>
          <w:rFonts w:ascii="Times New Roman" w:hAnsi="Times New Roman"/>
          <w:b w:val="0"/>
          <w:i w:val="0"/>
          <w:sz w:val="24"/>
        </w:rPr>
        <w:t xml:space="preserve"> Calibration-sharpness tradeoff for 2023 one-year-ahead probabilistic forecasts. Each point represents one model or covariate block. Lower WIS is better; interval width and coverage must be interpreted jointly.</w:t>
      </w:r>
    </w:p>
    <w:p>
      <w:pPr>
        <w:spacing w:before="0" w:after="0" w:line="480" w:lineRule="auto"/>
        <w:jc w:val="left"/>
      </w:pPr>
      <w:r>
        <w:rPr>
          <w:rFonts w:ascii="Times New Roman" w:hAnsi="Times New Roman"/>
          <w:b/>
          <w:i w:val="0"/>
          <w:sz w:val="24"/>
        </w:rPr>
        <w:t>Figure 3.</w:t>
      </w:r>
      <w:r>
        <w:rPr>
          <w:rFonts w:ascii="Times New Roman" w:hAnsi="Times New Roman"/>
          <w:b w:val="0"/>
          <w:i w:val="0"/>
          <w:sz w:val="24"/>
        </w:rPr>
        <w:t xml:space="preserve"> Surveillance-quality sensitivity, Finland/Germany influence, and calibration-localization summary. These panels test whether the main conclusion depends on flagged rows, high-incidence countries, or localized coverage failures.</w:t>
      </w:r>
    </w:p>
    <w:p>
      <w:pPr>
        <w:spacing w:before="120" w:after="0" w:line="480" w:lineRule="auto"/>
        <w:jc w:val="left"/>
      </w:pPr>
      <w:r>
        <w:rPr>
          <w:rFonts w:ascii="Times New Roman" w:hAnsi="Times New Roman"/>
          <w:b/>
          <w:i w:val="0"/>
          <w:sz w:val="24"/>
        </w:rPr>
        <w:t>TABLES</w:t>
      </w:r>
    </w:p>
    <w:p>
      <w:pPr>
        <w:spacing w:before="0" w:after="0" w:line="480" w:lineRule="auto"/>
        <w:jc w:val="left"/>
      </w:pPr>
      <w:r>
        <w:rPr>
          <w:rFonts w:ascii="Times New Roman" w:hAnsi="Times New Roman"/>
          <w:b/>
          <w:i w:val="0"/>
          <w:sz w:val="24"/>
        </w:rPr>
        <w:t>Table 1. Public data sources and model inputs for reported hantavirus incidence forecasting, European Union and European Economic Area, 2019-2023.</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Arial" w:hAnsi="Arial"/>
                <w:b/>
                <w:i w:val="0"/>
                <w:sz w:val="16"/>
              </w:rPr>
              <w:t>Input group</w:t>
            </w:r>
          </w:p>
        </w:tc>
        <w:tc>
          <w:tcPr>
            <w:tcW w:type="dxa" w:w="1560"/>
          </w:tcPr>
          <w:p>
            <w:r>
              <w:rPr>
                <w:rFonts w:ascii="Arial" w:hAnsi="Arial"/>
                <w:b/>
                <w:i w:val="0"/>
                <w:sz w:val="16"/>
              </w:rPr>
              <w:t>Main variables</w:t>
            </w:r>
          </w:p>
        </w:tc>
        <w:tc>
          <w:tcPr>
            <w:tcW w:type="dxa" w:w="1560"/>
          </w:tcPr>
          <w:p>
            <w:r>
              <w:rPr>
                <w:rFonts w:ascii="Arial" w:hAnsi="Arial"/>
                <w:b/>
                <w:i w:val="0"/>
                <w:sz w:val="16"/>
              </w:rPr>
              <w:t>Source</w:t>
            </w:r>
          </w:p>
        </w:tc>
        <w:tc>
          <w:tcPr>
            <w:tcW w:type="dxa" w:w="1560"/>
          </w:tcPr>
          <w:p>
            <w:r>
              <w:rPr>
                <w:rFonts w:ascii="Arial" w:hAnsi="Arial"/>
                <w:b/>
                <w:i w:val="0"/>
                <w:sz w:val="16"/>
              </w:rPr>
              <w:t>Training range or values</w:t>
            </w:r>
          </w:p>
        </w:tc>
        <w:tc>
          <w:tcPr>
            <w:tcW w:type="dxa" w:w="1560"/>
          </w:tcPr>
          <w:p>
            <w:r>
              <w:rPr>
                <w:rFonts w:ascii="Arial" w:hAnsi="Arial"/>
                <w:b/>
                <w:i w:val="0"/>
                <w:sz w:val="16"/>
              </w:rPr>
              <w:t>Lag/missingness rule</w:t>
            </w:r>
          </w:p>
        </w:tc>
        <w:tc>
          <w:tcPr>
            <w:tcW w:type="dxa" w:w="1560"/>
          </w:tcPr>
          <w:p>
            <w:r>
              <w:rPr>
                <w:rFonts w:ascii="Arial" w:hAnsi="Arial"/>
                <w:b/>
                <w:i w:val="0"/>
                <w:sz w:val="16"/>
              </w:rPr>
              <w:t>Use</w:t>
            </w:r>
          </w:p>
        </w:tc>
      </w:tr>
      <w:tr>
        <w:tc>
          <w:tcPr>
            <w:tcW w:type="dxa" w:w="1560"/>
          </w:tcPr>
          <w:p>
            <w:r>
              <w:rPr>
                <w:rFonts w:ascii="Arial" w:hAnsi="Arial"/>
                <w:b w:val="0"/>
                <w:i w:val="0"/>
                <w:sz w:val="16"/>
              </w:rPr>
              <w:t>Outcome</w:t>
            </w:r>
          </w:p>
        </w:tc>
        <w:tc>
          <w:tcPr>
            <w:tcW w:type="dxa" w:w="1560"/>
          </w:tcPr>
          <w:p>
            <w:r>
              <w:rPr>
                <w:rFonts w:ascii="Arial" w:hAnsi="Arial"/>
                <w:b w:val="0"/>
                <w:i w:val="0"/>
                <w:sz w:val="16"/>
              </w:rPr>
              <w:t>cases; incidence_per_100k</w:t>
            </w:r>
          </w:p>
        </w:tc>
        <w:tc>
          <w:tcPr>
            <w:tcW w:type="dxa" w:w="1560"/>
          </w:tcPr>
          <w:p>
            <w:r>
              <w:rPr>
                <w:rFonts w:ascii="Arial" w:hAnsi="Arial"/>
                <w:b w:val="0"/>
                <w:i w:val="0"/>
                <w:sz w:val="16"/>
              </w:rPr>
              <w:t>ECDC; World Bank population</w:t>
            </w:r>
          </w:p>
        </w:tc>
        <w:tc>
          <w:tcPr>
            <w:tcW w:type="dxa" w:w="1560"/>
          </w:tcPr>
          <w:p>
            <w:r>
              <w:rPr>
                <w:rFonts w:ascii="Arial" w:hAnsi="Arial"/>
                <w:b w:val="0"/>
                <w:i w:val="0"/>
                <w:sz w:val="16"/>
              </w:rPr>
              <w:t>cases 0-1,740; incidence 0-26.99/100,000</w:t>
            </w:r>
          </w:p>
        </w:tc>
        <w:tc>
          <w:tcPr>
            <w:tcW w:type="dxa" w:w="1560"/>
          </w:tcPr>
          <w:p>
            <w:r>
              <w:rPr>
                <w:rFonts w:ascii="Arial" w:hAnsi="Arial"/>
                <w:b w:val="0"/>
                <w:i w:val="0"/>
                <w:sz w:val="16"/>
              </w:rPr>
              <w:t>outcome only</w:t>
            </w:r>
          </w:p>
        </w:tc>
        <w:tc>
          <w:tcPr>
            <w:tcW w:type="dxa" w:w="1560"/>
          </w:tcPr>
          <w:p>
            <w:r>
              <w:rPr>
                <w:rFonts w:ascii="Arial" w:hAnsi="Arial"/>
                <w:b w:val="0"/>
                <w:i w:val="0"/>
                <w:sz w:val="16"/>
              </w:rPr>
              <w:t>reported-incidence label</w:t>
            </w:r>
          </w:p>
        </w:tc>
      </w:tr>
      <w:tr>
        <w:tc>
          <w:tcPr>
            <w:tcW w:type="dxa" w:w="1560"/>
          </w:tcPr>
          <w:p>
            <w:r>
              <w:rPr>
                <w:rFonts w:ascii="Arial" w:hAnsi="Arial"/>
                <w:b w:val="0"/>
                <w:i w:val="0"/>
                <w:sz w:val="16"/>
              </w:rPr>
              <w:t>Population denominator</w:t>
            </w:r>
          </w:p>
        </w:tc>
        <w:tc>
          <w:tcPr>
            <w:tcW w:type="dxa" w:w="1560"/>
          </w:tcPr>
          <w:p>
            <w:r>
              <w:rPr>
                <w:rFonts w:ascii="Arial" w:hAnsi="Arial"/>
                <w:b w:val="0"/>
                <w:i w:val="0"/>
                <w:sz w:val="16"/>
              </w:rPr>
              <w:t>population</w:t>
            </w:r>
          </w:p>
        </w:tc>
        <w:tc>
          <w:tcPr>
            <w:tcW w:type="dxa" w:w="1560"/>
          </w:tcPr>
          <w:p>
            <w:r>
              <w:rPr>
                <w:rFonts w:ascii="Arial" w:hAnsi="Arial"/>
                <w:b w:val="0"/>
                <w:i w:val="0"/>
                <w:sz w:val="16"/>
              </w:rPr>
              <w:t>World Bank</w:t>
            </w:r>
          </w:p>
        </w:tc>
        <w:tc>
          <w:tcPr>
            <w:tcW w:type="dxa" w:w="1560"/>
          </w:tcPr>
          <w:p>
            <w:r>
              <w:rPr>
                <w:rFonts w:ascii="Arial" w:hAnsi="Arial"/>
                <w:b w:val="0"/>
                <w:i w:val="0"/>
                <w:sz w:val="16"/>
              </w:rPr>
              <w:t>39,182-83,196,000 persons</w:t>
            </w:r>
          </w:p>
        </w:tc>
        <w:tc>
          <w:tcPr>
            <w:tcW w:type="dxa" w:w="1560"/>
          </w:tcPr>
          <w:p>
            <w:r>
              <w:rPr>
                <w:rFonts w:ascii="Arial" w:hAnsi="Arial"/>
                <w:b w:val="0"/>
                <w:i w:val="0"/>
                <w:sz w:val="16"/>
              </w:rPr>
              <w:t>none</w:t>
            </w:r>
          </w:p>
        </w:tc>
        <w:tc>
          <w:tcPr>
            <w:tcW w:type="dxa" w:w="1560"/>
          </w:tcPr>
          <w:p>
            <w:r>
              <w:rPr>
                <w:rFonts w:ascii="Arial" w:hAnsi="Arial"/>
                <w:b w:val="0"/>
                <w:i w:val="0"/>
                <w:sz w:val="16"/>
              </w:rPr>
              <w:t>rate/count conversion and offsets</w:t>
            </w:r>
          </w:p>
        </w:tc>
      </w:tr>
      <w:tr>
        <w:tc>
          <w:tcPr>
            <w:tcW w:type="dxa" w:w="1560"/>
          </w:tcPr>
          <w:p>
            <w:r>
              <w:rPr>
                <w:rFonts w:ascii="Arial" w:hAnsi="Arial"/>
                <w:b w:val="0"/>
                <w:i w:val="0"/>
                <w:sz w:val="16"/>
              </w:rPr>
              <w:t>Surveillance history</w:t>
            </w:r>
          </w:p>
        </w:tc>
        <w:tc>
          <w:tcPr>
            <w:tcW w:type="dxa" w:w="1560"/>
          </w:tcPr>
          <w:p>
            <w:r>
              <w:rPr>
                <w:rFonts w:ascii="Arial" w:hAnsi="Arial"/>
                <w:b w:val="0"/>
                <w:i w:val="0"/>
                <w:sz w:val="16"/>
              </w:rPr>
              <w:t>country_last_rate; country_historical_rate; regional and panel rates</w:t>
            </w:r>
          </w:p>
        </w:tc>
        <w:tc>
          <w:tcPr>
            <w:tcW w:type="dxa" w:w="1560"/>
          </w:tcPr>
          <w:p>
            <w:r>
              <w:rPr>
                <w:rFonts w:ascii="Arial" w:hAnsi="Arial"/>
                <w:b w:val="0"/>
                <w:i w:val="0"/>
                <w:sz w:val="16"/>
              </w:rPr>
              <w:t>derived from prior ECDC rows</w:t>
            </w:r>
          </w:p>
        </w:tc>
        <w:tc>
          <w:tcPr>
            <w:tcW w:type="dxa" w:w="1560"/>
          </w:tcPr>
          <w:p>
            <w:r>
              <w:rPr>
                <w:rFonts w:ascii="Arial" w:hAnsi="Arial"/>
                <w:b w:val="0"/>
                <w:i w:val="0"/>
                <w:sz w:val="16"/>
              </w:rPr>
              <w:t>0-22.75/100,000 for country rates</w:t>
            </w:r>
          </w:p>
        </w:tc>
        <w:tc>
          <w:tcPr>
            <w:tcW w:type="dxa" w:w="1560"/>
          </w:tcPr>
          <w:p>
            <w:r>
              <w:rPr>
                <w:rFonts w:ascii="Arial" w:hAnsi="Arial"/>
                <w:b w:val="0"/>
                <w:i w:val="0"/>
                <w:sz w:val="16"/>
              </w:rPr>
              <w:t>prior years only</w:t>
            </w:r>
          </w:p>
        </w:tc>
        <w:tc>
          <w:tcPr>
            <w:tcW w:type="dxa" w:w="1560"/>
          </w:tcPr>
          <w:p>
            <w:r>
              <w:rPr>
                <w:rFonts w:ascii="Arial" w:hAnsi="Arial"/>
                <w:b w:val="0"/>
                <w:i w:val="0"/>
                <w:sz w:val="16"/>
              </w:rPr>
              <w:t>simple baselines and surveillance-only block</w:t>
            </w:r>
          </w:p>
        </w:tc>
      </w:tr>
      <w:tr>
        <w:tc>
          <w:tcPr>
            <w:tcW w:type="dxa" w:w="1560"/>
          </w:tcPr>
          <w:p>
            <w:r>
              <w:rPr>
                <w:rFonts w:ascii="Arial" w:hAnsi="Arial"/>
                <w:b w:val="0"/>
                <w:i w:val="0"/>
                <w:sz w:val="16"/>
              </w:rPr>
              <w:t>Demographic context</w:t>
            </w:r>
          </w:p>
        </w:tc>
        <w:tc>
          <w:tcPr>
            <w:tcW w:type="dxa" w:w="1560"/>
          </w:tcPr>
          <w:p>
            <w:r>
              <w:rPr>
                <w:rFonts w:ascii="Arial" w:hAnsi="Arial"/>
                <w:b w:val="0"/>
                <w:i w:val="0"/>
                <w:sz w:val="16"/>
              </w:rPr>
              <w:t>rural population; GDP per capita</w:t>
            </w:r>
          </w:p>
        </w:tc>
        <w:tc>
          <w:tcPr>
            <w:tcW w:type="dxa" w:w="1560"/>
          </w:tcPr>
          <w:p>
            <w:r>
              <w:rPr>
                <w:rFonts w:ascii="Arial" w:hAnsi="Arial"/>
                <w:b w:val="0"/>
                <w:i w:val="0"/>
                <w:sz w:val="16"/>
              </w:rPr>
              <w:t>World Bank</w:t>
            </w:r>
          </w:p>
        </w:tc>
        <w:tc>
          <w:tcPr>
            <w:tcW w:type="dxa" w:w="1560"/>
          </w:tcPr>
          <w:p>
            <w:r>
              <w:rPr>
                <w:rFonts w:ascii="Arial" w:hAnsi="Arial"/>
                <w:b w:val="0"/>
                <w:i w:val="0"/>
                <w:sz w:val="16"/>
              </w:rPr>
              <w:t>rurality 4.82%-47.39%; GDP 10,354-116,860 current US dollars</w:t>
            </w:r>
          </w:p>
        </w:tc>
        <w:tc>
          <w:tcPr>
            <w:tcW w:type="dxa" w:w="1560"/>
          </w:tcPr>
          <w:p>
            <w:r>
              <w:rPr>
                <w:rFonts w:ascii="Arial" w:hAnsi="Arial"/>
                <w:b w:val="0"/>
                <w:i w:val="0"/>
                <w:sz w:val="16"/>
              </w:rPr>
              <w:t>lag 1 year; training-only imputation</w:t>
            </w:r>
          </w:p>
        </w:tc>
        <w:tc>
          <w:tcPr>
            <w:tcW w:type="dxa" w:w="1560"/>
          </w:tcPr>
          <w:p>
            <w:r>
              <w:rPr>
                <w:rFonts w:ascii="Arial" w:hAnsi="Arial"/>
                <w:b w:val="0"/>
                <w:i w:val="0"/>
                <w:sz w:val="16"/>
              </w:rPr>
              <w:t>context block</w:t>
            </w:r>
          </w:p>
        </w:tc>
      </w:tr>
      <w:tr>
        <w:tc>
          <w:tcPr>
            <w:tcW w:type="dxa" w:w="1560"/>
          </w:tcPr>
          <w:p>
            <w:r>
              <w:rPr>
                <w:rFonts w:ascii="Arial" w:hAnsi="Arial"/>
                <w:b w:val="0"/>
                <w:i w:val="0"/>
                <w:sz w:val="16"/>
              </w:rPr>
              <w:t>Land use</w:t>
            </w:r>
          </w:p>
        </w:tc>
        <w:tc>
          <w:tcPr>
            <w:tcW w:type="dxa" w:w="1560"/>
          </w:tcPr>
          <w:p>
            <w:r>
              <w:rPr>
                <w:rFonts w:ascii="Arial" w:hAnsi="Arial"/>
                <w:b w:val="0"/>
                <w:i w:val="0"/>
                <w:sz w:val="16"/>
              </w:rPr>
              <w:t>agricultural, cropland, forest, pasture, other land shares</w:t>
            </w:r>
          </w:p>
        </w:tc>
        <w:tc>
          <w:tcPr>
            <w:tcW w:type="dxa" w:w="1560"/>
          </w:tcPr>
          <w:p>
            <w:r>
              <w:rPr>
                <w:rFonts w:ascii="Arial" w:hAnsi="Arial"/>
                <w:b w:val="0"/>
                <w:i w:val="0"/>
                <w:sz w:val="16"/>
              </w:rPr>
              <w:t>FAOSTAT</w:t>
            </w:r>
          </w:p>
        </w:tc>
        <w:tc>
          <w:tcPr>
            <w:tcW w:type="dxa" w:w="1560"/>
          </w:tcPr>
          <w:p>
            <w:r>
              <w:rPr>
                <w:rFonts w:ascii="Arial" w:hAnsi="Arial"/>
                <w:b w:val="0"/>
                <w:i w:val="0"/>
                <w:sz w:val="16"/>
              </w:rPr>
              <w:t>shares 0.0007-0.8088</w:t>
            </w:r>
          </w:p>
        </w:tc>
        <w:tc>
          <w:tcPr>
            <w:tcW w:type="dxa" w:w="1560"/>
          </w:tcPr>
          <w:p>
            <w:r>
              <w:rPr>
                <w:rFonts w:ascii="Arial" w:hAnsi="Arial"/>
                <w:b w:val="0"/>
                <w:i w:val="0"/>
                <w:sz w:val="16"/>
              </w:rPr>
              <w:t>lag 1 year; training-only imputation</w:t>
            </w:r>
          </w:p>
        </w:tc>
        <w:tc>
          <w:tcPr>
            <w:tcW w:type="dxa" w:w="1560"/>
          </w:tcPr>
          <w:p>
            <w:r>
              <w:rPr>
                <w:rFonts w:ascii="Arial" w:hAnsi="Arial"/>
                <w:b w:val="0"/>
                <w:i w:val="0"/>
                <w:sz w:val="16"/>
              </w:rPr>
              <w:t>land-use block</w:t>
            </w:r>
          </w:p>
        </w:tc>
      </w:tr>
      <w:tr>
        <w:tc>
          <w:tcPr>
            <w:tcW w:type="dxa" w:w="1560"/>
          </w:tcPr>
          <w:p>
            <w:r>
              <w:rPr>
                <w:rFonts w:ascii="Arial" w:hAnsi="Arial"/>
                <w:b w:val="0"/>
                <w:i w:val="0"/>
                <w:sz w:val="16"/>
              </w:rPr>
              <w:t>Climate/water balance</w:t>
            </w:r>
          </w:p>
        </w:tc>
        <w:tc>
          <w:tcPr>
            <w:tcW w:type="dxa" w:w="1560"/>
          </w:tcPr>
          <w:p>
            <w:r>
              <w:rPr>
                <w:rFonts w:ascii="Arial" w:hAnsi="Arial"/>
                <w:b w:val="0"/>
                <w:i w:val="0"/>
                <w:sz w:val="16"/>
              </w:rPr>
              <w:t>deficit, precipitation, soil moisture, maximum/minimum temperature, vapor pressure deficit</w:t>
            </w:r>
          </w:p>
        </w:tc>
        <w:tc>
          <w:tcPr>
            <w:tcW w:type="dxa" w:w="1560"/>
          </w:tcPr>
          <w:p>
            <w:r>
              <w:rPr>
                <w:rFonts w:ascii="Arial" w:hAnsi="Arial"/>
                <w:b w:val="0"/>
                <w:i w:val="0"/>
                <w:sz w:val="16"/>
              </w:rPr>
              <w:t>TerraClimate</w:t>
            </w:r>
          </w:p>
        </w:tc>
        <w:tc>
          <w:tcPr>
            <w:tcW w:type="dxa" w:w="1560"/>
          </w:tcPr>
          <w:p>
            <w:r>
              <w:rPr>
                <w:rFonts w:ascii="Arial" w:hAnsi="Arial"/>
                <w:b w:val="0"/>
                <w:i w:val="0"/>
                <w:sz w:val="16"/>
              </w:rPr>
              <w:t>precipitation 362.7-1,594.0 mm; temperature -1.21-24.51 C</w:t>
            </w:r>
          </w:p>
        </w:tc>
        <w:tc>
          <w:tcPr>
            <w:tcW w:type="dxa" w:w="1560"/>
          </w:tcPr>
          <w:p>
            <w:r>
              <w:rPr>
                <w:rFonts w:ascii="Arial" w:hAnsi="Arial"/>
                <w:b w:val="0"/>
                <w:i w:val="0"/>
                <w:sz w:val="16"/>
              </w:rPr>
              <w:t>lag 1 year; training-only imputation</w:t>
            </w:r>
          </w:p>
        </w:tc>
        <w:tc>
          <w:tcPr>
            <w:tcW w:type="dxa" w:w="1560"/>
          </w:tcPr>
          <w:p>
            <w:r>
              <w:rPr>
                <w:rFonts w:ascii="Arial" w:hAnsi="Arial"/>
                <w:b w:val="0"/>
                <w:i w:val="0"/>
                <w:sz w:val="16"/>
              </w:rPr>
              <w:t>climate block</w:t>
            </w:r>
          </w:p>
        </w:tc>
      </w:tr>
      <w:tr>
        <w:tc>
          <w:tcPr>
            <w:tcW w:type="dxa" w:w="1560"/>
          </w:tcPr>
          <w:p>
            <w:r>
              <w:rPr>
                <w:rFonts w:ascii="Arial" w:hAnsi="Arial"/>
                <w:b w:val="0"/>
                <w:i w:val="0"/>
                <w:sz w:val="16"/>
              </w:rPr>
              <w:t>Source quality</w:t>
            </w:r>
          </w:p>
        </w:tc>
        <w:tc>
          <w:tcPr>
            <w:tcW w:type="dxa" w:w="1560"/>
          </w:tcPr>
          <w:p>
            <w:r>
              <w:rPr>
                <w:rFonts w:ascii="Arial" w:hAnsi="Arial"/>
                <w:b w:val="0"/>
                <w:i w:val="0"/>
                <w:sz w:val="16"/>
              </w:rPr>
              <w:t>EU/EEA status; surveillance completeness; quality grade</w:t>
            </w:r>
          </w:p>
        </w:tc>
        <w:tc>
          <w:tcPr>
            <w:tcW w:type="dxa" w:w="1560"/>
          </w:tcPr>
          <w:p>
            <w:r>
              <w:rPr>
                <w:rFonts w:ascii="Arial" w:hAnsi="Arial"/>
                <w:b w:val="0"/>
                <w:i w:val="0"/>
                <w:sz w:val="16"/>
              </w:rPr>
              <w:t>ECDC and manual source audit</w:t>
            </w:r>
          </w:p>
        </w:tc>
        <w:tc>
          <w:tcPr>
            <w:tcW w:type="dxa" w:w="1560"/>
          </w:tcPr>
          <w:p>
            <w:r>
              <w:rPr>
                <w:rFonts w:ascii="Arial" w:hAnsi="Arial"/>
                <w:b w:val="0"/>
                <w:i w:val="0"/>
                <w:sz w:val="16"/>
              </w:rPr>
              <w:t>categorical</w:t>
            </w:r>
          </w:p>
        </w:tc>
        <w:tc>
          <w:tcPr>
            <w:tcW w:type="dxa" w:w="1560"/>
          </w:tcPr>
          <w:p>
            <w:r>
              <w:rPr>
                <w:rFonts w:ascii="Arial" w:hAnsi="Arial"/>
                <w:b w:val="0"/>
                <w:i w:val="0"/>
                <w:sz w:val="16"/>
              </w:rPr>
              <w:t>no imputation for primary labels</w:t>
            </w:r>
          </w:p>
        </w:tc>
        <w:tc>
          <w:tcPr>
            <w:tcW w:type="dxa" w:w="1560"/>
          </w:tcPr>
          <w:p>
            <w:r>
              <w:rPr>
                <w:rFonts w:ascii="Arial" w:hAnsi="Arial"/>
                <w:b w:val="0"/>
                <w:i w:val="0"/>
                <w:sz w:val="16"/>
              </w:rPr>
              <w:t>all-public block and sensitivity</w:t>
            </w:r>
          </w:p>
        </w:tc>
      </w:tr>
      <w:tr>
        <w:tc>
          <w:tcPr>
            <w:tcW w:type="dxa" w:w="1560"/>
          </w:tcPr>
          <w:p>
            <w:r>
              <w:rPr>
                <w:rFonts w:ascii="Arial" w:hAnsi="Arial"/>
                <w:b w:val="0"/>
                <w:i w:val="0"/>
                <w:sz w:val="16"/>
              </w:rPr>
              <w:t>Boundary display</w:t>
            </w:r>
          </w:p>
        </w:tc>
        <w:tc>
          <w:tcPr>
            <w:tcW w:type="dxa" w:w="1560"/>
          </w:tcPr>
          <w:p>
            <w:r>
              <w:rPr>
                <w:rFonts w:ascii="Arial" w:hAnsi="Arial"/>
                <w:b w:val="0"/>
                <w:i w:val="0"/>
                <w:sz w:val="16"/>
              </w:rPr>
              <w:t>country boundaries</w:t>
            </w:r>
          </w:p>
        </w:tc>
        <w:tc>
          <w:tcPr>
            <w:tcW w:type="dxa" w:w="1560"/>
          </w:tcPr>
          <w:p>
            <w:r>
              <w:rPr>
                <w:rFonts w:ascii="Arial" w:hAnsi="Arial"/>
                <w:b w:val="0"/>
                <w:i w:val="0"/>
                <w:sz w:val="16"/>
              </w:rPr>
              <w:t>Natural Earth</w:t>
            </w:r>
          </w:p>
        </w:tc>
        <w:tc>
          <w:tcPr>
            <w:tcW w:type="dxa" w:w="1560"/>
          </w:tcPr>
          <w:p>
            <w:r>
              <w:rPr>
                <w:rFonts w:ascii="Arial" w:hAnsi="Arial"/>
                <w:b w:val="0"/>
                <w:i w:val="0"/>
                <w:sz w:val="16"/>
              </w:rPr>
              <w:t>not a predictor</w:t>
            </w:r>
          </w:p>
        </w:tc>
        <w:tc>
          <w:tcPr>
            <w:tcW w:type="dxa" w:w="1560"/>
          </w:tcPr>
          <w:p>
            <w:r>
              <w:rPr>
                <w:rFonts w:ascii="Arial" w:hAnsi="Arial"/>
                <w:b w:val="0"/>
                <w:i w:val="0"/>
                <w:sz w:val="16"/>
              </w:rPr>
              <w:t>not used in models</w:t>
            </w:r>
          </w:p>
        </w:tc>
        <w:tc>
          <w:tcPr>
            <w:tcW w:type="dxa" w:w="1560"/>
          </w:tcPr>
          <w:p>
            <w:r>
              <w:rPr>
                <w:rFonts w:ascii="Arial" w:hAnsi="Arial"/>
                <w:b w:val="0"/>
                <w:i w:val="0"/>
                <w:sz w:val="16"/>
              </w:rPr>
              <w:t>national-scale maps only</w:t>
            </w:r>
          </w:p>
        </w:tc>
      </w:tr>
      <w:tr>
        <w:tc>
          <w:tcPr>
            <w:tcW w:type="dxa" w:w="1560"/>
          </w:tcPr>
          <w:p>
            <w:r>
              <w:rPr>
                <w:rFonts w:ascii="Arial" w:hAnsi="Arial"/>
                <w:b w:val="0"/>
                <w:i w:val="0"/>
                <w:sz w:val="16"/>
              </w:rPr>
              <w:t>Excluded candidate</w:t>
            </w:r>
          </w:p>
        </w:tc>
        <w:tc>
          <w:tcPr>
            <w:tcW w:type="dxa" w:w="1560"/>
          </w:tcPr>
          <w:p>
            <w:r>
              <w:rPr>
                <w:rFonts w:ascii="Arial" w:hAnsi="Arial"/>
                <w:b w:val="0"/>
                <w:i w:val="0"/>
                <w:sz w:val="16"/>
              </w:rPr>
              <w:t>NDVI/EVI</w:t>
            </w:r>
          </w:p>
        </w:tc>
        <w:tc>
          <w:tcPr>
            <w:tcW w:type="dxa" w:w="1560"/>
          </w:tcPr>
          <w:p>
            <w:r>
              <w:rPr>
                <w:rFonts w:ascii="Arial" w:hAnsi="Arial"/>
                <w:b w:val="0"/>
                <w:i w:val="0"/>
                <w:sz w:val="16"/>
              </w:rPr>
              <w:t>MODIS MOD13C2</w:t>
            </w:r>
          </w:p>
        </w:tc>
        <w:tc>
          <w:tcPr>
            <w:tcW w:type="dxa" w:w="1560"/>
          </w:tcPr>
          <w:p>
            <w:r>
              <w:rPr>
                <w:rFonts w:ascii="Arial" w:hAnsi="Arial"/>
                <w:b w:val="0"/>
                <w:i w:val="0"/>
                <w:sz w:val="16"/>
              </w:rPr>
              <w:t>not used</w:t>
            </w:r>
          </w:p>
        </w:tc>
        <w:tc>
          <w:tcPr>
            <w:tcW w:type="dxa" w:w="1560"/>
          </w:tcPr>
          <w:p>
            <w:r>
              <w:rPr>
                <w:rFonts w:ascii="Arial" w:hAnsi="Arial"/>
                <w:b w:val="0"/>
                <w:i w:val="0"/>
                <w:sz w:val="16"/>
              </w:rPr>
              <w:t>excluded because QA-masked aggregation not implemented</w:t>
            </w:r>
          </w:p>
        </w:tc>
        <w:tc>
          <w:tcPr>
            <w:tcW w:type="dxa" w:w="1560"/>
          </w:tcPr>
          <w:p>
            <w:r>
              <w:rPr>
                <w:rFonts w:ascii="Arial" w:hAnsi="Arial"/>
                <w:b w:val="0"/>
                <w:i w:val="0"/>
                <w:sz w:val="16"/>
              </w:rPr>
              <w:t>no vegetation claims</w:t>
            </w:r>
          </w:p>
        </w:tc>
      </w:tr>
    </w:tbl>
    <w:p/>
    <w:p>
      <w:pPr>
        <w:spacing w:before="0" w:after="0" w:line="480" w:lineRule="auto"/>
        <w:jc w:val="left"/>
      </w:pPr>
      <w:r>
        <w:rPr>
          <w:rFonts w:ascii="Times New Roman" w:hAnsi="Times New Roman"/>
          <w:b/>
          <w:i w:val="0"/>
          <w:sz w:val="24"/>
        </w:rPr>
        <w:t>Table 2. Core benchmark performance for 2022 validation and 2023 test evaluation years.</w:t>
      </w:r>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rFonts w:ascii="Arial" w:hAnsi="Arial"/>
                <w:b/>
                <w:i w:val="0"/>
                <w:sz w:val="16"/>
              </w:rPr>
              <w:t>Year</w:t>
            </w:r>
          </w:p>
        </w:tc>
        <w:tc>
          <w:tcPr>
            <w:tcW w:type="dxa" w:w="1337"/>
          </w:tcPr>
          <w:p>
            <w:r>
              <w:rPr>
                <w:rFonts w:ascii="Arial" w:hAnsi="Arial"/>
                <w:b/>
                <w:i w:val="0"/>
                <w:sz w:val="16"/>
              </w:rPr>
              <w:t>Model</w:t>
            </w:r>
          </w:p>
        </w:tc>
        <w:tc>
          <w:tcPr>
            <w:tcW w:type="dxa" w:w="1337"/>
          </w:tcPr>
          <w:p>
            <w:r>
              <w:rPr>
                <w:rFonts w:ascii="Arial" w:hAnsi="Arial"/>
                <w:b/>
                <w:i w:val="0"/>
                <w:sz w:val="16"/>
              </w:rPr>
              <w:t>WIS</w:t>
            </w:r>
          </w:p>
        </w:tc>
        <w:tc>
          <w:tcPr>
            <w:tcW w:type="dxa" w:w="1337"/>
          </w:tcPr>
          <w:p>
            <w:r>
              <w:rPr>
                <w:rFonts w:ascii="Arial" w:hAnsi="Arial"/>
                <w:b/>
                <w:i w:val="0"/>
                <w:sz w:val="16"/>
              </w:rPr>
              <w:t>Coverage, n/N (%)</w:t>
            </w:r>
          </w:p>
        </w:tc>
        <w:tc>
          <w:tcPr>
            <w:tcW w:type="dxa" w:w="1337"/>
          </w:tcPr>
          <w:p>
            <w:r>
              <w:rPr>
                <w:rFonts w:ascii="Arial" w:hAnsi="Arial"/>
                <w:b/>
                <w:i w:val="0"/>
                <w:sz w:val="16"/>
              </w:rPr>
              <w:t>Width</w:t>
            </w:r>
          </w:p>
        </w:tc>
        <w:tc>
          <w:tcPr>
            <w:tcW w:type="dxa" w:w="1337"/>
          </w:tcPr>
          <w:p>
            <w:r>
              <w:rPr>
                <w:rFonts w:ascii="Arial" w:hAnsi="Arial"/>
                <w:b/>
                <w:i w:val="0"/>
                <w:sz w:val="16"/>
              </w:rPr>
              <w:t>MAE</w:t>
            </w:r>
          </w:p>
        </w:tc>
        <w:tc>
          <w:tcPr>
            <w:tcW w:type="dxa" w:w="1337"/>
          </w:tcPr>
          <w:p>
            <w:r>
              <w:rPr>
                <w:rFonts w:ascii="Arial" w:hAnsi="Arial"/>
                <w:b/>
                <w:i w:val="0"/>
                <w:sz w:val="16"/>
              </w:rPr>
              <w:t>Brier</w:t>
            </w:r>
          </w:p>
        </w:tc>
      </w:tr>
      <w:tr>
        <w:tc>
          <w:tcPr>
            <w:tcW w:type="dxa" w:w="1337"/>
          </w:tcPr>
          <w:p>
            <w:r>
              <w:rPr>
                <w:rFonts w:ascii="Arial" w:hAnsi="Arial"/>
                <w:b w:val="0"/>
                <w:i w:val="0"/>
                <w:sz w:val="16"/>
              </w:rPr>
              <w:t>2022</w:t>
            </w:r>
          </w:p>
        </w:tc>
        <w:tc>
          <w:tcPr>
            <w:tcW w:type="dxa" w:w="1337"/>
          </w:tcPr>
          <w:p>
            <w:r>
              <w:rPr>
                <w:rFonts w:ascii="Arial" w:hAnsi="Arial"/>
                <w:b w:val="0"/>
                <w:i w:val="0"/>
                <w:sz w:val="16"/>
              </w:rPr>
              <w:t>Country historical mean rate</w:t>
            </w:r>
          </w:p>
        </w:tc>
        <w:tc>
          <w:tcPr>
            <w:tcW w:type="dxa" w:w="1337"/>
          </w:tcPr>
          <w:p>
            <w:r>
              <w:rPr>
                <w:rFonts w:ascii="Arial" w:hAnsi="Arial"/>
                <w:b w:val="0"/>
                <w:i w:val="0"/>
                <w:sz w:val="16"/>
              </w:rPr>
              <w:t>65.58</w:t>
            </w:r>
          </w:p>
        </w:tc>
        <w:tc>
          <w:tcPr>
            <w:tcW w:type="dxa" w:w="1337"/>
          </w:tcPr>
          <w:p>
            <w:r>
              <w:rPr>
                <w:rFonts w:ascii="Arial" w:hAnsi="Arial"/>
                <w:b w:val="0"/>
                <w:i w:val="0"/>
                <w:sz w:val="16"/>
              </w:rPr>
              <w:t>18/29 (62%)</w:t>
            </w:r>
          </w:p>
        </w:tc>
        <w:tc>
          <w:tcPr>
            <w:tcW w:type="dxa" w:w="1337"/>
          </w:tcPr>
          <w:p>
            <w:r>
              <w:rPr>
                <w:rFonts w:ascii="Arial" w:hAnsi="Arial"/>
                <w:b w:val="0"/>
                <w:i w:val="0"/>
                <w:sz w:val="16"/>
              </w:rPr>
              <w:t>21.07</w:t>
            </w:r>
          </w:p>
        </w:tc>
        <w:tc>
          <w:tcPr>
            <w:tcW w:type="dxa" w:w="1337"/>
          </w:tcPr>
          <w:p>
            <w:r>
              <w:rPr>
                <w:rFonts w:ascii="Arial" w:hAnsi="Arial"/>
                <w:b w:val="0"/>
                <w:i w:val="0"/>
                <w:sz w:val="16"/>
              </w:rPr>
              <w:t>69.79</w:t>
            </w:r>
          </w:p>
        </w:tc>
        <w:tc>
          <w:tcPr>
            <w:tcW w:type="dxa" w:w="1337"/>
          </w:tcPr>
          <w:p>
            <w:r>
              <w:rPr>
                <w:rFonts w:ascii="Arial" w:hAnsi="Arial"/>
                <w:b w:val="0"/>
                <w:i w:val="0"/>
                <w:sz w:val="16"/>
              </w:rPr>
              <w:t>0.025</w:t>
            </w:r>
          </w:p>
        </w:tc>
      </w:tr>
      <w:tr>
        <w:tc>
          <w:tcPr>
            <w:tcW w:type="dxa" w:w="1337"/>
          </w:tcPr>
          <w:p>
            <w:r>
              <w:rPr>
                <w:rFonts w:ascii="Arial" w:hAnsi="Arial"/>
                <w:b w:val="0"/>
                <w:i w:val="0"/>
                <w:sz w:val="16"/>
              </w:rPr>
              <w:t>2022</w:t>
            </w:r>
          </w:p>
        </w:tc>
        <w:tc>
          <w:tcPr>
            <w:tcW w:type="dxa" w:w="1337"/>
          </w:tcPr>
          <w:p>
            <w:r>
              <w:rPr>
                <w:rFonts w:ascii="Arial" w:hAnsi="Arial"/>
                <w:b w:val="0"/>
                <w:i w:val="0"/>
                <w:sz w:val="16"/>
              </w:rPr>
              <w:t>Last-observed country rate</w:t>
            </w:r>
          </w:p>
        </w:tc>
        <w:tc>
          <w:tcPr>
            <w:tcW w:type="dxa" w:w="1337"/>
          </w:tcPr>
          <w:p>
            <w:r>
              <w:rPr>
                <w:rFonts w:ascii="Arial" w:hAnsi="Arial"/>
                <w:b w:val="0"/>
                <w:i w:val="0"/>
                <w:sz w:val="16"/>
              </w:rPr>
              <w:t>101.46</w:t>
            </w:r>
          </w:p>
        </w:tc>
        <w:tc>
          <w:tcPr>
            <w:tcW w:type="dxa" w:w="1337"/>
          </w:tcPr>
          <w:p>
            <w:r>
              <w:rPr>
                <w:rFonts w:ascii="Arial" w:hAnsi="Arial"/>
                <w:b w:val="0"/>
                <w:i w:val="0"/>
                <w:sz w:val="16"/>
              </w:rPr>
              <w:t>16/29 (55%)</w:t>
            </w:r>
          </w:p>
        </w:tc>
        <w:tc>
          <w:tcPr>
            <w:tcW w:type="dxa" w:w="1337"/>
          </w:tcPr>
          <w:p>
            <w:r>
              <w:rPr>
                <w:rFonts w:ascii="Arial" w:hAnsi="Arial"/>
                <w:b w:val="0"/>
                <w:i w:val="0"/>
                <w:sz w:val="16"/>
              </w:rPr>
              <w:t>24.55</w:t>
            </w:r>
          </w:p>
        </w:tc>
        <w:tc>
          <w:tcPr>
            <w:tcW w:type="dxa" w:w="1337"/>
          </w:tcPr>
          <w:p>
            <w:r>
              <w:rPr>
                <w:rFonts w:ascii="Arial" w:hAnsi="Arial"/>
                <w:b w:val="0"/>
                <w:i w:val="0"/>
                <w:sz w:val="16"/>
              </w:rPr>
              <w:t>108.07</w:t>
            </w:r>
          </w:p>
        </w:tc>
        <w:tc>
          <w:tcPr>
            <w:tcW w:type="dxa" w:w="1337"/>
          </w:tcPr>
          <w:p>
            <w:r>
              <w:rPr>
                <w:rFonts w:ascii="Arial" w:hAnsi="Arial"/>
                <w:b w:val="0"/>
                <w:i w:val="0"/>
                <w:sz w:val="16"/>
              </w:rPr>
              <w:t>0.033</w:t>
            </w:r>
          </w:p>
        </w:tc>
      </w:tr>
      <w:tr>
        <w:tc>
          <w:tcPr>
            <w:tcW w:type="dxa" w:w="1337"/>
          </w:tcPr>
          <w:p>
            <w:r>
              <w:rPr>
                <w:rFonts w:ascii="Arial" w:hAnsi="Arial"/>
                <w:b w:val="0"/>
                <w:i w:val="0"/>
                <w:sz w:val="16"/>
              </w:rPr>
              <w:t>2022</w:t>
            </w:r>
          </w:p>
        </w:tc>
        <w:tc>
          <w:tcPr>
            <w:tcW w:type="dxa" w:w="1337"/>
          </w:tcPr>
          <w:p>
            <w:r>
              <w:rPr>
                <w:rFonts w:ascii="Arial" w:hAnsi="Arial"/>
                <w:b w:val="0"/>
                <w:i w:val="0"/>
                <w:sz w:val="16"/>
              </w:rPr>
              <w:t>Empirical NB</w:t>
            </w:r>
          </w:p>
        </w:tc>
        <w:tc>
          <w:tcPr>
            <w:tcW w:type="dxa" w:w="1337"/>
          </w:tcPr>
          <w:p>
            <w:r>
              <w:rPr>
                <w:rFonts w:ascii="Arial" w:hAnsi="Arial"/>
                <w:b w:val="0"/>
                <w:i w:val="0"/>
                <w:sz w:val="16"/>
              </w:rPr>
              <w:t>47.17</w:t>
            </w:r>
          </w:p>
        </w:tc>
        <w:tc>
          <w:tcPr>
            <w:tcW w:type="dxa" w:w="1337"/>
          </w:tcPr>
          <w:p>
            <w:r>
              <w:rPr>
                <w:rFonts w:ascii="Arial" w:hAnsi="Arial"/>
                <w:b w:val="0"/>
                <w:i w:val="0"/>
                <w:sz w:val="16"/>
              </w:rPr>
              <w:t>29/29 (100%)</w:t>
            </w:r>
          </w:p>
        </w:tc>
        <w:tc>
          <w:tcPr>
            <w:tcW w:type="dxa" w:w="1337"/>
          </w:tcPr>
          <w:p>
            <w:r>
              <w:rPr>
                <w:rFonts w:ascii="Arial" w:hAnsi="Arial"/>
                <w:b w:val="0"/>
                <w:i w:val="0"/>
                <w:sz w:val="16"/>
              </w:rPr>
              <w:t>694.21</w:t>
            </w:r>
          </w:p>
        </w:tc>
        <w:tc>
          <w:tcPr>
            <w:tcW w:type="dxa" w:w="1337"/>
          </w:tcPr>
          <w:p>
            <w:r>
              <w:rPr>
                <w:rFonts w:ascii="Arial" w:hAnsi="Arial"/>
                <w:b w:val="0"/>
                <w:i w:val="0"/>
                <w:sz w:val="16"/>
              </w:rPr>
              <w:t>72.10</w:t>
            </w:r>
          </w:p>
        </w:tc>
        <w:tc>
          <w:tcPr>
            <w:tcW w:type="dxa" w:w="1337"/>
          </w:tcPr>
          <w:p>
            <w:r>
              <w:rPr>
                <w:rFonts w:ascii="Arial" w:hAnsi="Arial"/>
                <w:b w:val="0"/>
                <w:i w:val="0"/>
                <w:sz w:val="16"/>
              </w:rPr>
              <w:t>0.158</w:t>
            </w:r>
          </w:p>
        </w:tc>
      </w:tr>
      <w:tr>
        <w:tc>
          <w:tcPr>
            <w:tcW w:type="dxa" w:w="1337"/>
          </w:tcPr>
          <w:p>
            <w:r>
              <w:rPr>
                <w:rFonts w:ascii="Arial" w:hAnsi="Arial"/>
                <w:b w:val="0"/>
                <w:i w:val="0"/>
                <w:sz w:val="16"/>
              </w:rPr>
              <w:t>2022</w:t>
            </w:r>
          </w:p>
        </w:tc>
        <w:tc>
          <w:tcPr>
            <w:tcW w:type="dxa" w:w="1337"/>
          </w:tcPr>
          <w:p>
            <w:r>
              <w:rPr>
                <w:rFonts w:ascii="Arial" w:hAnsi="Arial"/>
                <w:b w:val="0"/>
                <w:i w:val="0"/>
                <w:sz w:val="16"/>
              </w:rPr>
              <w:t>Hierarchical NB</w:t>
            </w:r>
          </w:p>
        </w:tc>
        <w:tc>
          <w:tcPr>
            <w:tcW w:type="dxa" w:w="1337"/>
          </w:tcPr>
          <w:p>
            <w:r>
              <w:rPr>
                <w:rFonts w:ascii="Arial" w:hAnsi="Arial"/>
                <w:b w:val="0"/>
                <w:i w:val="0"/>
                <w:sz w:val="16"/>
              </w:rPr>
              <w:t>47.38</w:t>
            </w:r>
          </w:p>
        </w:tc>
        <w:tc>
          <w:tcPr>
            <w:tcW w:type="dxa" w:w="1337"/>
          </w:tcPr>
          <w:p>
            <w:r>
              <w:rPr>
                <w:rFonts w:ascii="Arial" w:hAnsi="Arial"/>
                <w:b w:val="0"/>
                <w:i w:val="0"/>
                <w:sz w:val="16"/>
              </w:rPr>
              <w:t>29/29 (100%)</w:t>
            </w:r>
          </w:p>
        </w:tc>
        <w:tc>
          <w:tcPr>
            <w:tcW w:type="dxa" w:w="1337"/>
          </w:tcPr>
          <w:p>
            <w:r>
              <w:rPr>
                <w:rFonts w:ascii="Arial" w:hAnsi="Arial"/>
                <w:b w:val="0"/>
                <w:i w:val="0"/>
                <w:sz w:val="16"/>
              </w:rPr>
              <w:t>693.52</w:t>
            </w:r>
          </w:p>
        </w:tc>
        <w:tc>
          <w:tcPr>
            <w:tcW w:type="dxa" w:w="1337"/>
          </w:tcPr>
          <w:p>
            <w:r>
              <w:rPr>
                <w:rFonts w:ascii="Arial" w:hAnsi="Arial"/>
                <w:b w:val="0"/>
                <w:i w:val="0"/>
                <w:sz w:val="16"/>
              </w:rPr>
              <w:t>72.79</w:t>
            </w:r>
          </w:p>
        </w:tc>
        <w:tc>
          <w:tcPr>
            <w:tcW w:type="dxa" w:w="1337"/>
          </w:tcPr>
          <w:p>
            <w:r>
              <w:rPr>
                <w:rFonts w:ascii="Arial" w:hAnsi="Arial"/>
                <w:b w:val="0"/>
                <w:i w:val="0"/>
                <w:sz w:val="16"/>
              </w:rPr>
              <w:t>0.198</w:t>
            </w:r>
          </w:p>
        </w:tc>
      </w:tr>
      <w:tr>
        <w:tc>
          <w:tcPr>
            <w:tcW w:type="dxa" w:w="1337"/>
          </w:tcPr>
          <w:p>
            <w:r>
              <w:rPr>
                <w:rFonts w:ascii="Arial" w:hAnsi="Arial"/>
                <w:b w:val="0"/>
                <w:i w:val="0"/>
                <w:sz w:val="16"/>
              </w:rPr>
              <w:t>2022</w:t>
            </w:r>
          </w:p>
        </w:tc>
        <w:tc>
          <w:tcPr>
            <w:tcW w:type="dxa" w:w="1337"/>
          </w:tcPr>
          <w:p>
            <w:r>
              <w:rPr>
                <w:rFonts w:ascii="Arial" w:hAnsi="Arial"/>
                <w:b w:val="0"/>
                <w:i w:val="0"/>
                <w:sz w:val="16"/>
              </w:rPr>
              <w:t>Best covariate block, all public</w:t>
            </w:r>
          </w:p>
        </w:tc>
        <w:tc>
          <w:tcPr>
            <w:tcW w:type="dxa" w:w="1337"/>
          </w:tcPr>
          <w:p>
            <w:r>
              <w:rPr>
                <w:rFonts w:ascii="Arial" w:hAnsi="Arial"/>
                <w:b w:val="0"/>
                <w:i w:val="0"/>
                <w:sz w:val="16"/>
              </w:rPr>
              <w:t>74.46</w:t>
            </w:r>
          </w:p>
        </w:tc>
        <w:tc>
          <w:tcPr>
            <w:tcW w:type="dxa" w:w="1337"/>
          </w:tcPr>
          <w:p>
            <w:r>
              <w:rPr>
                <w:rFonts w:ascii="Arial" w:hAnsi="Arial"/>
                <w:b w:val="0"/>
                <w:i w:val="0"/>
                <w:sz w:val="16"/>
              </w:rPr>
              <w:t>22/29 (76%)</w:t>
            </w:r>
          </w:p>
        </w:tc>
        <w:tc>
          <w:tcPr>
            <w:tcW w:type="dxa" w:w="1337"/>
          </w:tcPr>
          <w:p>
            <w:r>
              <w:rPr>
                <w:rFonts w:ascii="Arial" w:hAnsi="Arial"/>
                <w:b w:val="0"/>
                <w:i w:val="0"/>
                <w:sz w:val="16"/>
              </w:rPr>
              <w:t>264.92</w:t>
            </w:r>
          </w:p>
        </w:tc>
        <w:tc>
          <w:tcPr>
            <w:tcW w:type="dxa" w:w="1337"/>
          </w:tcPr>
          <w:p>
            <w:r>
              <w:rPr>
                <w:rFonts w:ascii="Arial" w:hAnsi="Arial"/>
                <w:b w:val="0"/>
                <w:i w:val="0"/>
                <w:sz w:val="16"/>
              </w:rPr>
              <w:t>109.89</w:t>
            </w:r>
          </w:p>
        </w:tc>
        <w:tc>
          <w:tcPr>
            <w:tcW w:type="dxa" w:w="1337"/>
          </w:tcPr>
          <w:p>
            <w:r>
              <w:rPr>
                <w:rFonts w:ascii="Arial" w:hAnsi="Arial"/>
                <w:b w:val="0"/>
                <w:i w:val="0"/>
                <w:sz w:val="16"/>
              </w:rPr>
              <w:t>0.386</w:t>
            </w:r>
          </w:p>
        </w:tc>
      </w:tr>
      <w:tr>
        <w:tc>
          <w:tcPr>
            <w:tcW w:type="dxa" w:w="1337"/>
          </w:tcPr>
          <w:p>
            <w:r>
              <w:rPr>
                <w:rFonts w:ascii="Arial" w:hAnsi="Arial"/>
                <w:b w:val="0"/>
                <w:i w:val="0"/>
                <w:sz w:val="16"/>
              </w:rPr>
              <w:t>2023</w:t>
            </w:r>
          </w:p>
        </w:tc>
        <w:tc>
          <w:tcPr>
            <w:tcW w:type="dxa" w:w="1337"/>
          </w:tcPr>
          <w:p>
            <w:r>
              <w:rPr>
                <w:rFonts w:ascii="Arial" w:hAnsi="Arial"/>
                <w:b w:val="0"/>
                <w:i w:val="0"/>
                <w:sz w:val="16"/>
              </w:rPr>
              <w:t>Country historical mean rate</w:t>
            </w:r>
          </w:p>
        </w:tc>
        <w:tc>
          <w:tcPr>
            <w:tcW w:type="dxa" w:w="1337"/>
          </w:tcPr>
          <w:p>
            <w:r>
              <w:rPr>
                <w:rFonts w:ascii="Arial" w:hAnsi="Arial"/>
                <w:b w:val="0"/>
                <w:i w:val="0"/>
                <w:sz w:val="16"/>
              </w:rPr>
              <w:t>52.47</w:t>
            </w:r>
          </w:p>
        </w:tc>
        <w:tc>
          <w:tcPr>
            <w:tcW w:type="dxa" w:w="1337"/>
          </w:tcPr>
          <w:p>
            <w:r>
              <w:rPr>
                <w:rFonts w:ascii="Arial" w:hAnsi="Arial"/>
                <w:b w:val="0"/>
                <w:i w:val="0"/>
                <w:sz w:val="16"/>
              </w:rPr>
              <w:t>15/28 (54%)</w:t>
            </w:r>
          </w:p>
        </w:tc>
        <w:tc>
          <w:tcPr>
            <w:tcW w:type="dxa" w:w="1337"/>
          </w:tcPr>
          <w:p>
            <w:r>
              <w:rPr>
                <w:rFonts w:ascii="Arial" w:hAnsi="Arial"/>
                <w:b w:val="0"/>
                <w:i w:val="0"/>
                <w:sz w:val="16"/>
              </w:rPr>
              <w:t>20.61</w:t>
            </w:r>
          </w:p>
        </w:tc>
        <w:tc>
          <w:tcPr>
            <w:tcW w:type="dxa" w:w="1337"/>
          </w:tcPr>
          <w:p>
            <w:r>
              <w:rPr>
                <w:rFonts w:ascii="Arial" w:hAnsi="Arial"/>
                <w:b w:val="0"/>
                <w:i w:val="0"/>
                <w:sz w:val="16"/>
              </w:rPr>
              <w:t>58.14</w:t>
            </w:r>
          </w:p>
        </w:tc>
        <w:tc>
          <w:tcPr>
            <w:tcW w:type="dxa" w:w="1337"/>
          </w:tcPr>
          <w:p>
            <w:r>
              <w:rPr>
                <w:rFonts w:ascii="Arial" w:hAnsi="Arial"/>
                <w:b w:val="0"/>
                <w:i w:val="0"/>
                <w:sz w:val="16"/>
              </w:rPr>
              <w:t>0.036</w:t>
            </w:r>
          </w:p>
        </w:tc>
      </w:tr>
      <w:tr>
        <w:tc>
          <w:tcPr>
            <w:tcW w:type="dxa" w:w="1337"/>
          </w:tcPr>
          <w:p>
            <w:r>
              <w:rPr>
                <w:rFonts w:ascii="Arial" w:hAnsi="Arial"/>
                <w:b w:val="0"/>
                <w:i w:val="0"/>
                <w:sz w:val="16"/>
              </w:rPr>
              <w:t>2023</w:t>
            </w:r>
          </w:p>
        </w:tc>
        <w:tc>
          <w:tcPr>
            <w:tcW w:type="dxa" w:w="1337"/>
          </w:tcPr>
          <w:p>
            <w:r>
              <w:rPr>
                <w:rFonts w:ascii="Arial" w:hAnsi="Arial"/>
                <w:b w:val="0"/>
                <w:i w:val="0"/>
                <w:sz w:val="16"/>
              </w:rPr>
              <w:t>Last-observed country rate</w:t>
            </w:r>
          </w:p>
        </w:tc>
        <w:tc>
          <w:tcPr>
            <w:tcW w:type="dxa" w:w="1337"/>
          </w:tcPr>
          <w:p>
            <w:r>
              <w:rPr>
                <w:rFonts w:ascii="Arial" w:hAnsi="Arial"/>
                <w:b w:val="0"/>
                <w:i w:val="0"/>
                <w:sz w:val="16"/>
              </w:rPr>
              <w:t>42.86</w:t>
            </w:r>
          </w:p>
        </w:tc>
        <w:tc>
          <w:tcPr>
            <w:tcW w:type="dxa" w:w="1337"/>
          </w:tcPr>
          <w:p>
            <w:r>
              <w:rPr>
                <w:rFonts w:ascii="Arial" w:hAnsi="Arial"/>
                <w:b w:val="0"/>
                <w:i w:val="0"/>
                <w:sz w:val="16"/>
              </w:rPr>
              <w:t>16/28 (57%)</w:t>
            </w:r>
          </w:p>
        </w:tc>
        <w:tc>
          <w:tcPr>
            <w:tcW w:type="dxa" w:w="1337"/>
          </w:tcPr>
          <w:p>
            <w:r>
              <w:rPr>
                <w:rFonts w:ascii="Arial" w:hAnsi="Arial"/>
                <w:b w:val="0"/>
                <w:i w:val="0"/>
                <w:sz w:val="16"/>
              </w:rPr>
              <w:t>14.61</w:t>
            </w:r>
          </w:p>
        </w:tc>
        <w:tc>
          <w:tcPr>
            <w:tcW w:type="dxa" w:w="1337"/>
          </w:tcPr>
          <w:p>
            <w:r>
              <w:rPr>
                <w:rFonts w:ascii="Arial" w:hAnsi="Arial"/>
                <w:b w:val="0"/>
                <w:i w:val="0"/>
                <w:sz w:val="16"/>
              </w:rPr>
              <w:t>47.11</w:t>
            </w:r>
          </w:p>
        </w:tc>
        <w:tc>
          <w:tcPr>
            <w:tcW w:type="dxa" w:w="1337"/>
          </w:tcPr>
          <w:p>
            <w:r>
              <w:rPr>
                <w:rFonts w:ascii="Arial" w:hAnsi="Arial"/>
                <w:b w:val="0"/>
                <w:i w:val="0"/>
                <w:sz w:val="16"/>
              </w:rPr>
              <w:t>0.061</w:t>
            </w:r>
          </w:p>
        </w:tc>
      </w:tr>
      <w:tr>
        <w:tc>
          <w:tcPr>
            <w:tcW w:type="dxa" w:w="1337"/>
          </w:tcPr>
          <w:p>
            <w:r>
              <w:rPr>
                <w:rFonts w:ascii="Arial" w:hAnsi="Arial"/>
                <w:b w:val="0"/>
                <w:i w:val="0"/>
                <w:sz w:val="16"/>
              </w:rPr>
              <w:t>2023</w:t>
            </w:r>
          </w:p>
        </w:tc>
        <w:tc>
          <w:tcPr>
            <w:tcW w:type="dxa" w:w="1337"/>
          </w:tcPr>
          <w:p>
            <w:r>
              <w:rPr>
                <w:rFonts w:ascii="Arial" w:hAnsi="Arial"/>
                <w:b w:val="0"/>
                <w:i w:val="0"/>
                <w:sz w:val="16"/>
              </w:rPr>
              <w:t>Empirical NB</w:t>
            </w:r>
          </w:p>
        </w:tc>
        <w:tc>
          <w:tcPr>
            <w:tcW w:type="dxa" w:w="1337"/>
          </w:tcPr>
          <w:p>
            <w:r>
              <w:rPr>
                <w:rFonts w:ascii="Arial" w:hAnsi="Arial"/>
                <w:b w:val="0"/>
                <w:i w:val="0"/>
                <w:sz w:val="16"/>
              </w:rPr>
              <w:t>43.75</w:t>
            </w:r>
          </w:p>
        </w:tc>
        <w:tc>
          <w:tcPr>
            <w:tcW w:type="dxa" w:w="1337"/>
          </w:tcPr>
          <w:p>
            <w:r>
              <w:rPr>
                <w:rFonts w:ascii="Arial" w:hAnsi="Arial"/>
                <w:b w:val="0"/>
                <w:i w:val="0"/>
                <w:sz w:val="16"/>
              </w:rPr>
              <w:t>28/28 (100%)</w:t>
            </w:r>
          </w:p>
        </w:tc>
        <w:tc>
          <w:tcPr>
            <w:tcW w:type="dxa" w:w="1337"/>
          </w:tcPr>
          <w:p>
            <w:r>
              <w:rPr>
                <w:rFonts w:ascii="Arial" w:hAnsi="Arial"/>
                <w:b w:val="0"/>
                <w:i w:val="0"/>
                <w:sz w:val="16"/>
              </w:rPr>
              <w:t>660.00</w:t>
            </w:r>
          </w:p>
        </w:tc>
        <w:tc>
          <w:tcPr>
            <w:tcW w:type="dxa" w:w="1337"/>
          </w:tcPr>
          <w:p>
            <w:r>
              <w:rPr>
                <w:rFonts w:ascii="Arial" w:hAnsi="Arial"/>
                <w:b w:val="0"/>
                <w:i w:val="0"/>
                <w:sz w:val="16"/>
              </w:rPr>
              <w:t>65.25</w:t>
            </w:r>
          </w:p>
        </w:tc>
        <w:tc>
          <w:tcPr>
            <w:tcW w:type="dxa" w:w="1337"/>
          </w:tcPr>
          <w:p>
            <w:r>
              <w:rPr>
                <w:rFonts w:ascii="Arial" w:hAnsi="Arial"/>
                <w:b w:val="0"/>
                <w:i w:val="0"/>
                <w:sz w:val="16"/>
              </w:rPr>
              <w:t>0.190</w:t>
            </w:r>
          </w:p>
        </w:tc>
      </w:tr>
      <w:tr>
        <w:tc>
          <w:tcPr>
            <w:tcW w:type="dxa" w:w="1337"/>
          </w:tcPr>
          <w:p>
            <w:r>
              <w:rPr>
                <w:rFonts w:ascii="Arial" w:hAnsi="Arial"/>
                <w:b w:val="0"/>
                <w:i w:val="0"/>
                <w:sz w:val="16"/>
              </w:rPr>
              <w:t>2023</w:t>
            </w:r>
          </w:p>
        </w:tc>
        <w:tc>
          <w:tcPr>
            <w:tcW w:type="dxa" w:w="1337"/>
          </w:tcPr>
          <w:p>
            <w:r>
              <w:rPr>
                <w:rFonts w:ascii="Arial" w:hAnsi="Arial"/>
                <w:b w:val="0"/>
                <w:i w:val="0"/>
                <w:sz w:val="16"/>
              </w:rPr>
              <w:t>Hierarchical NB</w:t>
            </w:r>
          </w:p>
        </w:tc>
        <w:tc>
          <w:tcPr>
            <w:tcW w:type="dxa" w:w="1337"/>
          </w:tcPr>
          <w:p>
            <w:r>
              <w:rPr>
                <w:rFonts w:ascii="Arial" w:hAnsi="Arial"/>
                <w:b w:val="0"/>
                <w:i w:val="0"/>
                <w:sz w:val="16"/>
              </w:rPr>
              <w:t>43.90</w:t>
            </w:r>
          </w:p>
        </w:tc>
        <w:tc>
          <w:tcPr>
            <w:tcW w:type="dxa" w:w="1337"/>
          </w:tcPr>
          <w:p>
            <w:r>
              <w:rPr>
                <w:rFonts w:ascii="Arial" w:hAnsi="Arial"/>
                <w:b w:val="0"/>
                <w:i w:val="0"/>
                <w:sz w:val="16"/>
              </w:rPr>
              <w:t>28/28 (100%)</w:t>
            </w:r>
          </w:p>
        </w:tc>
        <w:tc>
          <w:tcPr>
            <w:tcW w:type="dxa" w:w="1337"/>
          </w:tcPr>
          <w:p>
            <w:r>
              <w:rPr>
                <w:rFonts w:ascii="Arial" w:hAnsi="Arial"/>
                <w:b w:val="0"/>
                <w:i w:val="0"/>
                <w:sz w:val="16"/>
              </w:rPr>
              <w:t>659.39</w:t>
            </w:r>
          </w:p>
        </w:tc>
        <w:tc>
          <w:tcPr>
            <w:tcW w:type="dxa" w:w="1337"/>
          </w:tcPr>
          <w:p>
            <w:r>
              <w:rPr>
                <w:rFonts w:ascii="Arial" w:hAnsi="Arial"/>
                <w:b w:val="0"/>
                <w:i w:val="0"/>
                <w:sz w:val="16"/>
              </w:rPr>
              <w:t>65.75</w:t>
            </w:r>
          </w:p>
        </w:tc>
        <w:tc>
          <w:tcPr>
            <w:tcW w:type="dxa" w:w="1337"/>
          </w:tcPr>
          <w:p>
            <w:r>
              <w:rPr>
                <w:rFonts w:ascii="Arial" w:hAnsi="Arial"/>
                <w:b w:val="0"/>
                <w:i w:val="0"/>
                <w:sz w:val="16"/>
              </w:rPr>
              <w:t>0.215</w:t>
            </w:r>
          </w:p>
        </w:tc>
      </w:tr>
      <w:tr>
        <w:tc>
          <w:tcPr>
            <w:tcW w:type="dxa" w:w="1337"/>
          </w:tcPr>
          <w:p>
            <w:r>
              <w:rPr>
                <w:rFonts w:ascii="Arial" w:hAnsi="Arial"/>
                <w:b w:val="0"/>
                <w:i w:val="0"/>
                <w:sz w:val="16"/>
              </w:rPr>
              <w:t>2023</w:t>
            </w:r>
          </w:p>
        </w:tc>
        <w:tc>
          <w:tcPr>
            <w:tcW w:type="dxa" w:w="1337"/>
          </w:tcPr>
          <w:p>
            <w:r>
              <w:rPr>
                <w:rFonts w:ascii="Arial" w:hAnsi="Arial"/>
                <w:b w:val="0"/>
                <w:i w:val="0"/>
                <w:sz w:val="16"/>
              </w:rPr>
              <w:t>Best covariate block, land use</w:t>
            </w:r>
          </w:p>
        </w:tc>
        <w:tc>
          <w:tcPr>
            <w:tcW w:type="dxa" w:w="1337"/>
          </w:tcPr>
          <w:p>
            <w:r>
              <w:rPr>
                <w:rFonts w:ascii="Arial" w:hAnsi="Arial"/>
                <w:b w:val="0"/>
                <w:i w:val="0"/>
                <w:sz w:val="16"/>
              </w:rPr>
              <w:t>318.55</w:t>
            </w:r>
          </w:p>
        </w:tc>
        <w:tc>
          <w:tcPr>
            <w:tcW w:type="dxa" w:w="1337"/>
          </w:tcPr>
          <w:p>
            <w:r>
              <w:rPr>
                <w:rFonts w:ascii="Arial" w:hAnsi="Arial"/>
                <w:b w:val="0"/>
                <w:i w:val="0"/>
                <w:sz w:val="16"/>
              </w:rPr>
              <w:t>19/28 (68%)</w:t>
            </w:r>
          </w:p>
        </w:tc>
        <w:tc>
          <w:tcPr>
            <w:tcW w:type="dxa" w:w="1337"/>
          </w:tcPr>
          <w:p>
            <w:r>
              <w:rPr>
                <w:rFonts w:ascii="Arial" w:hAnsi="Arial"/>
                <w:b w:val="0"/>
                <w:i w:val="0"/>
                <w:sz w:val="16"/>
              </w:rPr>
              <w:t>325.87</w:t>
            </w:r>
          </w:p>
        </w:tc>
        <w:tc>
          <w:tcPr>
            <w:tcW w:type="dxa" w:w="1337"/>
          </w:tcPr>
          <w:p>
            <w:r>
              <w:rPr>
                <w:rFonts w:ascii="Arial" w:hAnsi="Arial"/>
                <w:b w:val="0"/>
                <w:i w:val="0"/>
                <w:sz w:val="16"/>
              </w:rPr>
              <w:t>367.44</w:t>
            </w:r>
          </w:p>
        </w:tc>
        <w:tc>
          <w:tcPr>
            <w:tcW w:type="dxa" w:w="1337"/>
          </w:tcPr>
          <w:p>
            <w:r>
              <w:rPr>
                <w:rFonts w:ascii="Arial" w:hAnsi="Arial"/>
                <w:b w:val="0"/>
                <w:i w:val="0"/>
                <w:sz w:val="16"/>
              </w:rPr>
              <w:t>0.294</w:t>
            </w:r>
          </w:p>
        </w:tc>
      </w:tr>
      <w:tr>
        <w:tc>
          <w:tcPr>
            <w:tcW w:type="dxa" w:w="1337"/>
          </w:tcPr>
          <w:p>
            <w:r>
              <w:rPr>
                <w:rFonts w:ascii="Arial" w:hAnsi="Arial"/>
                <w:b w:val="0"/>
                <w:i w:val="0"/>
                <w:sz w:val="16"/>
              </w:rPr>
              <w:t>2023</w:t>
            </w:r>
          </w:p>
        </w:tc>
        <w:tc>
          <w:tcPr>
            <w:tcW w:type="dxa" w:w="1337"/>
          </w:tcPr>
          <w:p>
            <w:r>
              <w:rPr>
                <w:rFonts w:ascii="Arial" w:hAnsi="Arial"/>
                <w:b w:val="0"/>
                <w:i w:val="0"/>
                <w:sz w:val="16"/>
              </w:rPr>
              <w:t>Best penalized Poisson, land use</w:t>
            </w:r>
          </w:p>
        </w:tc>
        <w:tc>
          <w:tcPr>
            <w:tcW w:type="dxa" w:w="1337"/>
          </w:tcPr>
          <w:p>
            <w:r>
              <w:rPr>
                <w:rFonts w:ascii="Arial" w:hAnsi="Arial"/>
                <w:b w:val="0"/>
                <w:i w:val="0"/>
                <w:sz w:val="16"/>
              </w:rPr>
              <w:t>159.37</w:t>
            </w:r>
          </w:p>
        </w:tc>
        <w:tc>
          <w:tcPr>
            <w:tcW w:type="dxa" w:w="1337"/>
          </w:tcPr>
          <w:p>
            <w:r>
              <w:rPr>
                <w:rFonts w:ascii="Arial" w:hAnsi="Arial"/>
                <w:b w:val="0"/>
                <w:i w:val="0"/>
                <w:sz w:val="16"/>
              </w:rPr>
              <w:t>9/28 (32%)</w:t>
            </w:r>
          </w:p>
        </w:tc>
        <w:tc>
          <w:tcPr>
            <w:tcW w:type="dxa" w:w="1337"/>
          </w:tcPr>
          <w:p>
            <w:r>
              <w:rPr>
                <w:rFonts w:ascii="Arial" w:hAnsi="Arial"/>
                <w:b w:val="0"/>
                <w:i w:val="0"/>
                <w:sz w:val="16"/>
              </w:rPr>
              <w:t>28.82</w:t>
            </w:r>
          </w:p>
        </w:tc>
        <w:tc>
          <w:tcPr>
            <w:tcW w:type="dxa" w:w="1337"/>
          </w:tcPr>
          <w:p>
            <w:r>
              <w:rPr>
                <w:rFonts w:ascii="Arial" w:hAnsi="Arial"/>
                <w:b w:val="0"/>
                <w:i w:val="0"/>
                <w:sz w:val="16"/>
              </w:rPr>
              <w:t>167.64</w:t>
            </w:r>
          </w:p>
        </w:tc>
        <w:tc>
          <w:tcPr>
            <w:tcW w:type="dxa" w:w="1337"/>
          </w:tcPr>
          <w:p>
            <w:r>
              <w:rPr>
                <w:rFonts w:ascii="Arial" w:hAnsi="Arial"/>
                <w:b w:val="0"/>
                <w:i w:val="0"/>
                <w:sz w:val="16"/>
              </w:rPr>
              <w:t>0.099</w:t>
            </w:r>
          </w:p>
        </w:tc>
      </w:tr>
    </w:tbl>
    <w:p/>
    <w:p>
      <w:pPr>
        <w:spacing w:before="0" w:after="0" w:line="480" w:lineRule="auto"/>
        <w:jc w:val="left"/>
      </w:pPr>
      <w:r>
        <w:rPr>
          <w:rFonts w:ascii="Times New Roman" w:hAnsi="Times New Roman"/>
          <w:b/>
          <w:i w:val="0"/>
          <w:sz w:val="24"/>
        </w:rPr>
        <w:t>Table 3. Sensitivity summary for 2023 covariate-block models.</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Arial" w:hAnsi="Arial"/>
                <w:b/>
                <w:i w:val="0"/>
                <w:sz w:val="16"/>
              </w:rPr>
              <w:t>Scenario</w:t>
            </w:r>
          </w:p>
        </w:tc>
        <w:tc>
          <w:tcPr>
            <w:tcW w:type="dxa" w:w="1560"/>
          </w:tcPr>
          <w:p>
            <w:r>
              <w:rPr>
                <w:rFonts w:ascii="Arial" w:hAnsi="Arial"/>
                <w:b/>
                <w:i w:val="0"/>
                <w:sz w:val="16"/>
              </w:rPr>
              <w:t>Best covariate block</w:t>
            </w:r>
          </w:p>
        </w:tc>
        <w:tc>
          <w:tcPr>
            <w:tcW w:type="dxa" w:w="1560"/>
          </w:tcPr>
          <w:p>
            <w:r>
              <w:rPr>
                <w:rFonts w:ascii="Arial" w:hAnsi="Arial"/>
                <w:b/>
                <w:i w:val="0"/>
                <w:sz w:val="16"/>
              </w:rPr>
              <w:t>WIS</w:t>
            </w:r>
          </w:p>
        </w:tc>
        <w:tc>
          <w:tcPr>
            <w:tcW w:type="dxa" w:w="1560"/>
          </w:tcPr>
          <w:p>
            <w:r>
              <w:rPr>
                <w:rFonts w:ascii="Arial" w:hAnsi="Arial"/>
                <w:b/>
                <w:i w:val="0"/>
                <w:sz w:val="16"/>
              </w:rPr>
              <w:t>Coverage, n/N (%)</w:t>
            </w:r>
          </w:p>
        </w:tc>
        <w:tc>
          <w:tcPr>
            <w:tcW w:type="dxa" w:w="1560"/>
          </w:tcPr>
          <w:p>
            <w:r>
              <w:rPr>
                <w:rFonts w:ascii="Arial" w:hAnsi="Arial"/>
                <w:b/>
                <w:i w:val="0"/>
                <w:sz w:val="16"/>
              </w:rPr>
              <w:t>Width</w:t>
            </w:r>
          </w:p>
        </w:tc>
        <w:tc>
          <w:tcPr>
            <w:tcW w:type="dxa" w:w="1560"/>
          </w:tcPr>
          <w:p>
            <w:r>
              <w:rPr>
                <w:rFonts w:ascii="Arial" w:hAnsi="Arial"/>
                <w:b/>
                <w:i w:val="0"/>
                <w:sz w:val="16"/>
              </w:rPr>
              <w:t>Promotion rule passed</w:t>
            </w:r>
          </w:p>
        </w:tc>
      </w:tr>
      <w:tr>
        <w:tc>
          <w:tcPr>
            <w:tcW w:type="dxa" w:w="1560"/>
          </w:tcPr>
          <w:p>
            <w:r>
              <w:rPr>
                <w:rFonts w:ascii="Arial" w:hAnsi="Arial"/>
                <w:b w:val="0"/>
                <w:i w:val="0"/>
                <w:sz w:val="16"/>
              </w:rPr>
              <w:t>Primary all rows</w:t>
            </w:r>
          </w:p>
        </w:tc>
        <w:tc>
          <w:tcPr>
            <w:tcW w:type="dxa" w:w="1560"/>
          </w:tcPr>
          <w:p>
            <w:r>
              <w:rPr>
                <w:rFonts w:ascii="Arial" w:hAnsi="Arial"/>
                <w:b w:val="0"/>
                <w:i w:val="0"/>
                <w:sz w:val="16"/>
              </w:rPr>
              <w:t>Land use</w:t>
            </w:r>
          </w:p>
        </w:tc>
        <w:tc>
          <w:tcPr>
            <w:tcW w:type="dxa" w:w="1560"/>
          </w:tcPr>
          <w:p>
            <w:r>
              <w:rPr>
                <w:rFonts w:ascii="Arial" w:hAnsi="Arial"/>
                <w:b w:val="0"/>
                <w:i w:val="0"/>
                <w:sz w:val="16"/>
              </w:rPr>
              <w:t>318.55</w:t>
            </w:r>
          </w:p>
        </w:tc>
        <w:tc>
          <w:tcPr>
            <w:tcW w:type="dxa" w:w="1560"/>
          </w:tcPr>
          <w:p>
            <w:r>
              <w:rPr>
                <w:rFonts w:ascii="Arial" w:hAnsi="Arial"/>
                <w:b w:val="0"/>
                <w:i w:val="0"/>
                <w:sz w:val="16"/>
              </w:rPr>
              <w:t>19/28 (68%)</w:t>
            </w:r>
          </w:p>
        </w:tc>
        <w:tc>
          <w:tcPr>
            <w:tcW w:type="dxa" w:w="1560"/>
          </w:tcPr>
          <w:p>
            <w:r>
              <w:rPr>
                <w:rFonts w:ascii="Arial" w:hAnsi="Arial"/>
                <w:b w:val="0"/>
                <w:i w:val="0"/>
                <w:sz w:val="16"/>
              </w:rPr>
              <w:t>325.87</w:t>
            </w:r>
          </w:p>
        </w:tc>
        <w:tc>
          <w:tcPr>
            <w:tcW w:type="dxa" w:w="1560"/>
          </w:tcPr>
          <w:p>
            <w:r>
              <w:rPr>
                <w:rFonts w:ascii="Arial" w:hAnsi="Arial"/>
                <w:b w:val="0"/>
                <w:i w:val="0"/>
                <w:sz w:val="16"/>
              </w:rPr>
              <w:t>No</w:t>
            </w:r>
          </w:p>
        </w:tc>
      </w:tr>
      <w:tr>
        <w:tc>
          <w:tcPr>
            <w:tcW w:type="dxa" w:w="1560"/>
          </w:tcPr>
          <w:p>
            <w:r>
              <w:rPr>
                <w:rFonts w:ascii="Arial" w:hAnsi="Arial"/>
                <w:b w:val="0"/>
                <w:i w:val="0"/>
                <w:sz w:val="16"/>
              </w:rPr>
              <w:t>Exclude Belgium 2023</w:t>
            </w:r>
          </w:p>
        </w:tc>
        <w:tc>
          <w:tcPr>
            <w:tcW w:type="dxa" w:w="1560"/>
          </w:tcPr>
          <w:p>
            <w:r>
              <w:rPr>
                <w:rFonts w:ascii="Arial" w:hAnsi="Arial"/>
                <w:b w:val="0"/>
                <w:i w:val="0"/>
                <w:sz w:val="16"/>
              </w:rPr>
              <w:t>Land use</w:t>
            </w:r>
          </w:p>
        </w:tc>
        <w:tc>
          <w:tcPr>
            <w:tcW w:type="dxa" w:w="1560"/>
          </w:tcPr>
          <w:p>
            <w:r>
              <w:rPr>
                <w:rFonts w:ascii="Arial" w:hAnsi="Arial"/>
                <w:b w:val="0"/>
                <w:i w:val="0"/>
                <w:sz w:val="16"/>
              </w:rPr>
              <w:t>329.37</w:t>
            </w:r>
          </w:p>
        </w:tc>
        <w:tc>
          <w:tcPr>
            <w:tcW w:type="dxa" w:w="1560"/>
          </w:tcPr>
          <w:p>
            <w:r>
              <w:rPr>
                <w:rFonts w:ascii="Arial" w:hAnsi="Arial"/>
                <w:b w:val="0"/>
                <w:i w:val="0"/>
                <w:sz w:val="16"/>
              </w:rPr>
              <w:t>18/27 (67%)</w:t>
            </w:r>
          </w:p>
        </w:tc>
        <w:tc>
          <w:tcPr>
            <w:tcW w:type="dxa" w:w="1560"/>
          </w:tcPr>
          <w:p>
            <w:r>
              <w:rPr>
                <w:rFonts w:ascii="Arial" w:hAnsi="Arial"/>
                <w:b w:val="0"/>
                <w:i w:val="0"/>
                <w:sz w:val="16"/>
              </w:rPr>
              <w:t>324.12</w:t>
            </w:r>
          </w:p>
        </w:tc>
        <w:tc>
          <w:tcPr>
            <w:tcW w:type="dxa" w:w="1560"/>
          </w:tcPr>
          <w:p>
            <w:r>
              <w:rPr>
                <w:rFonts w:ascii="Arial" w:hAnsi="Arial"/>
                <w:b w:val="0"/>
                <w:i w:val="0"/>
                <w:sz w:val="16"/>
              </w:rPr>
              <w:t>No</w:t>
            </w:r>
          </w:p>
        </w:tc>
      </w:tr>
      <w:tr>
        <w:tc>
          <w:tcPr>
            <w:tcW w:type="dxa" w:w="1560"/>
          </w:tcPr>
          <w:p>
            <w:r>
              <w:rPr>
                <w:rFonts w:ascii="Arial" w:hAnsi="Arial"/>
                <w:b w:val="0"/>
                <w:i w:val="0"/>
                <w:sz w:val="16"/>
              </w:rPr>
              <w:t>Exclude Cyprus 2023</w:t>
            </w:r>
          </w:p>
        </w:tc>
        <w:tc>
          <w:tcPr>
            <w:tcW w:type="dxa" w:w="1560"/>
          </w:tcPr>
          <w:p>
            <w:r>
              <w:rPr>
                <w:rFonts w:ascii="Arial" w:hAnsi="Arial"/>
                <w:b w:val="0"/>
                <w:i w:val="0"/>
                <w:sz w:val="16"/>
              </w:rPr>
              <w:t>Land use</w:t>
            </w:r>
          </w:p>
        </w:tc>
        <w:tc>
          <w:tcPr>
            <w:tcW w:type="dxa" w:w="1560"/>
          </w:tcPr>
          <w:p>
            <w:r>
              <w:rPr>
                <w:rFonts w:ascii="Arial" w:hAnsi="Arial"/>
                <w:b w:val="0"/>
                <w:i w:val="0"/>
                <w:sz w:val="16"/>
              </w:rPr>
              <w:t>329.95</w:t>
            </w:r>
          </w:p>
        </w:tc>
        <w:tc>
          <w:tcPr>
            <w:tcW w:type="dxa" w:w="1560"/>
          </w:tcPr>
          <w:p>
            <w:r>
              <w:rPr>
                <w:rFonts w:ascii="Arial" w:hAnsi="Arial"/>
                <w:b w:val="0"/>
                <w:i w:val="0"/>
                <w:sz w:val="16"/>
              </w:rPr>
              <w:t>18/27 (67%)</w:t>
            </w:r>
          </w:p>
        </w:tc>
        <w:tc>
          <w:tcPr>
            <w:tcW w:type="dxa" w:w="1560"/>
          </w:tcPr>
          <w:p>
            <w:r>
              <w:rPr>
                <w:rFonts w:ascii="Arial" w:hAnsi="Arial"/>
                <w:b w:val="0"/>
                <w:i w:val="0"/>
                <w:sz w:val="16"/>
              </w:rPr>
              <w:t>329.04</w:t>
            </w:r>
          </w:p>
        </w:tc>
        <w:tc>
          <w:tcPr>
            <w:tcW w:type="dxa" w:w="1560"/>
          </w:tcPr>
          <w:p>
            <w:r>
              <w:rPr>
                <w:rFonts w:ascii="Arial" w:hAnsi="Arial"/>
                <w:b w:val="0"/>
                <w:i w:val="0"/>
                <w:sz w:val="16"/>
              </w:rPr>
              <w:t>No</w:t>
            </w:r>
          </w:p>
        </w:tc>
      </w:tr>
      <w:tr>
        <w:tc>
          <w:tcPr>
            <w:tcW w:type="dxa" w:w="1560"/>
          </w:tcPr>
          <w:p>
            <w:r>
              <w:rPr>
                <w:rFonts w:ascii="Arial" w:hAnsi="Arial"/>
                <w:b w:val="0"/>
                <w:i w:val="0"/>
                <w:sz w:val="16"/>
              </w:rPr>
              <w:t>Exclude Belgium and Cyprus 2023</w:t>
            </w:r>
          </w:p>
        </w:tc>
        <w:tc>
          <w:tcPr>
            <w:tcW w:type="dxa" w:w="1560"/>
          </w:tcPr>
          <w:p>
            <w:r>
              <w:rPr>
                <w:rFonts w:ascii="Arial" w:hAnsi="Arial"/>
                <w:b w:val="0"/>
                <w:i w:val="0"/>
                <w:sz w:val="16"/>
              </w:rPr>
              <w:t>Land use</w:t>
            </w:r>
          </w:p>
        </w:tc>
        <w:tc>
          <w:tcPr>
            <w:tcW w:type="dxa" w:w="1560"/>
          </w:tcPr>
          <w:p>
            <w:r>
              <w:rPr>
                <w:rFonts w:ascii="Arial" w:hAnsi="Arial"/>
                <w:b w:val="0"/>
                <w:i w:val="0"/>
                <w:sz w:val="16"/>
              </w:rPr>
              <w:t>341.62</w:t>
            </w:r>
          </w:p>
        </w:tc>
        <w:tc>
          <w:tcPr>
            <w:tcW w:type="dxa" w:w="1560"/>
          </w:tcPr>
          <w:p>
            <w:r>
              <w:rPr>
                <w:rFonts w:ascii="Arial" w:hAnsi="Arial"/>
                <w:b w:val="0"/>
                <w:i w:val="0"/>
                <w:sz w:val="16"/>
              </w:rPr>
              <w:t>17/26 (65%)</w:t>
            </w:r>
          </w:p>
        </w:tc>
        <w:tc>
          <w:tcPr>
            <w:tcW w:type="dxa" w:w="1560"/>
          </w:tcPr>
          <w:p>
            <w:r>
              <w:rPr>
                <w:rFonts w:ascii="Arial" w:hAnsi="Arial"/>
                <w:b w:val="0"/>
                <w:i w:val="0"/>
                <w:sz w:val="16"/>
              </w:rPr>
              <w:t>327.36</w:t>
            </w:r>
          </w:p>
        </w:tc>
        <w:tc>
          <w:tcPr>
            <w:tcW w:type="dxa" w:w="1560"/>
          </w:tcPr>
          <w:p>
            <w:r>
              <w:rPr>
                <w:rFonts w:ascii="Arial" w:hAnsi="Arial"/>
                <w:b w:val="0"/>
                <w:i w:val="0"/>
                <w:sz w:val="16"/>
              </w:rPr>
              <w:t>No</w:t>
            </w:r>
          </w:p>
        </w:tc>
      </w:tr>
      <w:tr>
        <w:tc>
          <w:tcPr>
            <w:tcW w:type="dxa" w:w="1560"/>
          </w:tcPr>
          <w:p>
            <w:r>
              <w:rPr>
                <w:rFonts w:ascii="Arial" w:hAnsi="Arial"/>
                <w:b w:val="0"/>
                <w:i w:val="0"/>
                <w:sz w:val="16"/>
              </w:rPr>
              <w:t>Retain flagged rows with indicator</w:t>
            </w:r>
          </w:p>
        </w:tc>
        <w:tc>
          <w:tcPr>
            <w:tcW w:type="dxa" w:w="1560"/>
          </w:tcPr>
          <w:p>
            <w:r>
              <w:rPr>
                <w:rFonts w:ascii="Arial" w:hAnsi="Arial"/>
                <w:b w:val="0"/>
                <w:i w:val="0"/>
                <w:sz w:val="16"/>
              </w:rPr>
              <w:t>Land use</w:t>
            </w:r>
          </w:p>
        </w:tc>
        <w:tc>
          <w:tcPr>
            <w:tcW w:type="dxa" w:w="1560"/>
          </w:tcPr>
          <w:p>
            <w:r>
              <w:rPr>
                <w:rFonts w:ascii="Arial" w:hAnsi="Arial"/>
                <w:b w:val="0"/>
                <w:i w:val="0"/>
                <w:sz w:val="16"/>
              </w:rPr>
              <w:t>318.55</w:t>
            </w:r>
          </w:p>
        </w:tc>
        <w:tc>
          <w:tcPr>
            <w:tcW w:type="dxa" w:w="1560"/>
          </w:tcPr>
          <w:p>
            <w:r>
              <w:rPr>
                <w:rFonts w:ascii="Arial" w:hAnsi="Arial"/>
                <w:b w:val="0"/>
                <w:i w:val="0"/>
                <w:sz w:val="16"/>
              </w:rPr>
              <w:t>19/28 (68%)</w:t>
            </w:r>
          </w:p>
        </w:tc>
        <w:tc>
          <w:tcPr>
            <w:tcW w:type="dxa" w:w="1560"/>
          </w:tcPr>
          <w:p>
            <w:r>
              <w:rPr>
                <w:rFonts w:ascii="Arial" w:hAnsi="Arial"/>
                <w:b w:val="0"/>
                <w:i w:val="0"/>
                <w:sz w:val="16"/>
              </w:rPr>
              <w:t>325.87</w:t>
            </w:r>
          </w:p>
        </w:tc>
        <w:tc>
          <w:tcPr>
            <w:tcW w:type="dxa" w:w="1560"/>
          </w:tcPr>
          <w:p>
            <w:r>
              <w:rPr>
                <w:rFonts w:ascii="Arial" w:hAnsi="Arial"/>
                <w:b w:val="0"/>
                <w:i w:val="0"/>
                <w:sz w:val="16"/>
              </w:rPr>
              <w:t>No</w:t>
            </w:r>
          </w:p>
        </w:tc>
      </w:tr>
      <w:tr>
        <w:tc>
          <w:tcPr>
            <w:tcW w:type="dxa" w:w="1560"/>
          </w:tcPr>
          <w:p>
            <w:r>
              <w:rPr>
                <w:rFonts w:ascii="Arial" w:hAnsi="Arial"/>
                <w:b w:val="0"/>
                <w:i w:val="0"/>
                <w:sz w:val="16"/>
              </w:rPr>
              <w:t>Exclude 2020 training rows</w:t>
            </w:r>
          </w:p>
        </w:tc>
        <w:tc>
          <w:tcPr>
            <w:tcW w:type="dxa" w:w="1560"/>
          </w:tcPr>
          <w:p>
            <w:r>
              <w:rPr>
                <w:rFonts w:ascii="Arial" w:hAnsi="Arial"/>
                <w:b w:val="0"/>
                <w:i w:val="0"/>
                <w:sz w:val="16"/>
              </w:rPr>
              <w:t>All public</w:t>
            </w:r>
          </w:p>
        </w:tc>
        <w:tc>
          <w:tcPr>
            <w:tcW w:type="dxa" w:w="1560"/>
          </w:tcPr>
          <w:p>
            <w:r>
              <w:rPr>
                <w:rFonts w:ascii="Arial" w:hAnsi="Arial"/>
                <w:b w:val="0"/>
                <w:i w:val="0"/>
                <w:sz w:val="16"/>
              </w:rPr>
              <w:t>138.27</w:t>
            </w:r>
          </w:p>
        </w:tc>
        <w:tc>
          <w:tcPr>
            <w:tcW w:type="dxa" w:w="1560"/>
          </w:tcPr>
          <w:p>
            <w:r>
              <w:rPr>
                <w:rFonts w:ascii="Arial" w:hAnsi="Arial"/>
                <w:b w:val="0"/>
                <w:i w:val="0"/>
                <w:sz w:val="16"/>
              </w:rPr>
              <w:t>25/28 (89%)</w:t>
            </w:r>
          </w:p>
        </w:tc>
        <w:tc>
          <w:tcPr>
            <w:tcW w:type="dxa" w:w="1560"/>
          </w:tcPr>
          <w:p>
            <w:r>
              <w:rPr>
                <w:rFonts w:ascii="Arial" w:hAnsi="Arial"/>
                <w:b w:val="0"/>
                <w:i w:val="0"/>
                <w:sz w:val="16"/>
              </w:rPr>
              <w:t>593.23</w:t>
            </w:r>
          </w:p>
        </w:tc>
        <w:tc>
          <w:tcPr>
            <w:tcW w:type="dxa" w:w="1560"/>
          </w:tcPr>
          <w:p>
            <w:r>
              <w:rPr>
                <w:rFonts w:ascii="Arial" w:hAnsi="Arial"/>
                <w:b w:val="0"/>
                <w:i w:val="0"/>
                <w:sz w:val="16"/>
              </w:rPr>
              <w:t>No</w:t>
            </w:r>
          </w:p>
        </w:tc>
      </w:tr>
      <w:tr>
        <w:tc>
          <w:tcPr>
            <w:tcW w:type="dxa" w:w="1560"/>
          </w:tcPr>
          <w:p>
            <w:r>
              <w:rPr>
                <w:rFonts w:ascii="Arial" w:hAnsi="Arial"/>
                <w:b w:val="0"/>
                <w:i w:val="0"/>
                <w:sz w:val="16"/>
              </w:rPr>
              <w:t>Exclude 2021 training rows</w:t>
            </w:r>
          </w:p>
        </w:tc>
        <w:tc>
          <w:tcPr>
            <w:tcW w:type="dxa" w:w="1560"/>
          </w:tcPr>
          <w:p>
            <w:r>
              <w:rPr>
                <w:rFonts w:ascii="Arial" w:hAnsi="Arial"/>
                <w:b w:val="0"/>
                <w:i w:val="0"/>
                <w:sz w:val="16"/>
              </w:rPr>
              <w:t>Surveillance only</w:t>
            </w:r>
          </w:p>
        </w:tc>
        <w:tc>
          <w:tcPr>
            <w:tcW w:type="dxa" w:w="1560"/>
          </w:tcPr>
          <w:p>
            <w:r>
              <w:rPr>
                <w:rFonts w:ascii="Arial" w:hAnsi="Arial"/>
                <w:b w:val="0"/>
                <w:i w:val="0"/>
                <w:sz w:val="16"/>
              </w:rPr>
              <w:t>27.93</w:t>
            </w:r>
          </w:p>
        </w:tc>
        <w:tc>
          <w:tcPr>
            <w:tcW w:type="dxa" w:w="1560"/>
          </w:tcPr>
          <w:p>
            <w:r>
              <w:rPr>
                <w:rFonts w:ascii="Arial" w:hAnsi="Arial"/>
                <w:b w:val="0"/>
                <w:i w:val="0"/>
                <w:sz w:val="16"/>
              </w:rPr>
              <w:t>26/28 (93%)</w:t>
            </w:r>
          </w:p>
        </w:tc>
        <w:tc>
          <w:tcPr>
            <w:tcW w:type="dxa" w:w="1560"/>
          </w:tcPr>
          <w:p>
            <w:r>
              <w:rPr>
                <w:rFonts w:ascii="Arial" w:hAnsi="Arial"/>
                <w:b w:val="0"/>
                <w:i w:val="0"/>
                <w:sz w:val="16"/>
              </w:rPr>
              <w:t>304.32</w:t>
            </w:r>
          </w:p>
        </w:tc>
        <w:tc>
          <w:tcPr>
            <w:tcW w:type="dxa" w:w="1560"/>
          </w:tcPr>
          <w:p>
            <w:r>
              <w:rPr>
                <w:rFonts w:ascii="Arial" w:hAnsi="Arial"/>
                <w:b w:val="0"/>
                <w:i w:val="0"/>
                <w:sz w:val="16"/>
              </w:rPr>
              <w:t>No</w:t>
            </w:r>
          </w:p>
        </w:tc>
      </w:tr>
      <w:tr>
        <w:tc>
          <w:tcPr>
            <w:tcW w:type="dxa" w:w="1560"/>
          </w:tcPr>
          <w:p>
            <w:r>
              <w:rPr>
                <w:rFonts w:ascii="Arial" w:hAnsi="Arial"/>
                <w:b w:val="0"/>
                <w:i w:val="0"/>
                <w:sz w:val="16"/>
              </w:rPr>
              <w:t>Exclude 2020-2021 training rows</w:t>
            </w:r>
          </w:p>
        </w:tc>
        <w:tc>
          <w:tcPr>
            <w:tcW w:type="dxa" w:w="1560"/>
          </w:tcPr>
          <w:p>
            <w:r>
              <w:rPr>
                <w:rFonts w:ascii="Arial" w:hAnsi="Arial"/>
                <w:b w:val="0"/>
                <w:i w:val="0"/>
                <w:sz w:val="16"/>
              </w:rPr>
              <w:t>All public</w:t>
            </w:r>
          </w:p>
        </w:tc>
        <w:tc>
          <w:tcPr>
            <w:tcW w:type="dxa" w:w="1560"/>
          </w:tcPr>
          <w:p>
            <w:r>
              <w:rPr>
                <w:rFonts w:ascii="Arial" w:hAnsi="Arial"/>
                <w:b w:val="0"/>
                <w:i w:val="0"/>
                <w:sz w:val="16"/>
              </w:rPr>
              <w:t>75.85</w:t>
            </w:r>
          </w:p>
        </w:tc>
        <w:tc>
          <w:tcPr>
            <w:tcW w:type="dxa" w:w="1560"/>
          </w:tcPr>
          <w:p>
            <w:r>
              <w:rPr>
                <w:rFonts w:ascii="Arial" w:hAnsi="Arial"/>
                <w:b w:val="0"/>
                <w:i w:val="0"/>
                <w:sz w:val="16"/>
              </w:rPr>
              <w:t>25/28 (89%)</w:t>
            </w:r>
          </w:p>
        </w:tc>
        <w:tc>
          <w:tcPr>
            <w:tcW w:type="dxa" w:w="1560"/>
          </w:tcPr>
          <w:p>
            <w:r>
              <w:rPr>
                <w:rFonts w:ascii="Arial" w:hAnsi="Arial"/>
                <w:b w:val="0"/>
                <w:i w:val="0"/>
                <w:sz w:val="16"/>
              </w:rPr>
              <w:t>764.02</w:t>
            </w:r>
          </w:p>
        </w:tc>
        <w:tc>
          <w:tcPr>
            <w:tcW w:type="dxa" w:w="1560"/>
          </w:tcPr>
          <w:p>
            <w:r>
              <w:rPr>
                <w:rFonts w:ascii="Arial" w:hAnsi="Arial"/>
                <w:b w:val="0"/>
                <w:i w:val="0"/>
                <w:sz w:val="16"/>
              </w:rPr>
              <w:t>No</w:t>
            </w:r>
          </w:p>
        </w:tc>
      </w:tr>
    </w:tbl>
    <w:p/>
    <w:sectPr w:rsidR="00FC693F" w:rsidRPr="0006063C" w:rsidSect="00034616">
      <w:pgSz w:w="12240" w:h="15840"/>
      <w:pgMar w:top="1440" w:right="1440" w:bottom="1440" w:left="1440" w:header="720" w:footer="720" w:gutter="0"/>
      <w:cols w:space="720"/>
      <w:docGrid w:linePitch="360"/>
      <w:lnNumType w:start="1"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