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480" w:lineRule="auto"/>
        <w:jc w:val="left"/>
      </w:pPr>
      <w:r>
        <w:rPr>
          <w:rFonts w:ascii="Times New Roman" w:hAnsi="Times New Roman"/>
          <w:b/>
          <w:i w:val="0"/>
          <w:sz w:val="28"/>
        </w:rPr>
        <w:t>Appendix: Methods and EID Evidence Package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A. Source Audit and Data Construction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benchmark uses public aggregate EU/EEA country-year reported hantavirus surveillance labels for 2019-2023. Annual totals reconcile exactly to ECDC: 4,088; 1,693; 4,947; 2,185; and 1,885 reported cases. Belgium 2023 and Cyprus 2023 are flagged as source-quality grade C; all other rows are grade B.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Primary source and model-input files:</w:t>
      </w:r>
    </w:p>
    <w:p>
      <w:pPr>
        <w:pStyle w:val="ListBullet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docs/submission_eid/tables/table1_model_inputs.csv</w:t>
      </w:r>
    </w:p>
    <w:p>
      <w:pPr>
        <w:pStyle w:val="ListBullet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docs/submission_eid/tables/table1_model_inputs.md</w:t>
      </w:r>
    </w:p>
    <w:p>
      <w:pPr>
        <w:pStyle w:val="ListBullet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docs/submission_eid/reproducibility_manifest.md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B. Complete Feature Dictionary and Inclusion Logic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complete EID Table 1 contains category, variable name, definition, unit, source, years available, lag, training range, missingness counts, missingness rule, feature-set inclusion, rationale, limitation, and leakage check.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Feature blocks:</w:t>
      </w:r>
    </w:p>
    <w:p>
      <w:pPr>
        <w:pStyle w:val="ListNumber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 only: target year, pandemic-period indicator, lagged country rate summaries, regional history, and overall panel history.</w:t>
      </w:r>
    </w:p>
    <w:p>
      <w:pPr>
        <w:pStyle w:val="ListNumber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Context: surveillance plus World Bank rurality and GDP.</w:t>
      </w:r>
    </w:p>
    <w:p>
      <w:pPr>
        <w:pStyle w:val="ListNumber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Land use: context plus FAOSTAT land-use shares.</w:t>
      </w:r>
    </w:p>
    <w:p>
      <w:pPr>
        <w:pStyle w:val="ListNumber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Climate: land use plus TerraClimate lag-1 climate and water-balance summaries.</w:t>
      </w:r>
    </w:p>
    <w:p>
      <w:pPr>
        <w:pStyle w:val="ListNumber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public: climate plus ECDC/source-quality metadata.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MODIS NDVI/EVI is documented as an excluded candidate because quality-masked country-year aggregation was not implemented and audited for this submission.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C. Model Schematic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Appendix Figure model_schematic shows the workflow: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ECDC labels -&gt; public covariate joins -&gt; training-only imputation/screening -&gt;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baselines and covariate blocks -&gt; 2022 validation / 2023 locked test -&gt;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WIS, coverage, width, MAE, Brier -&gt; sensitivity, influence, detectability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schematic is stored at: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docs/submission_eid/figures/Appendix_Figure_model_schematic.tif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D. Forecasting Workflow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Primary split: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train: 2019-2021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validate: 2022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test: 2023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imputation, feature screening, and tuning steps use training rows or the validation year only. Target-year case counts are never used as predictors.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E. Weighted Interval Score Details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 observed count y, lower bound l, upper bound u, median m, and alpha = 0.10: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IS_alpha = (u - l)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 xml:space="preserve">         + (2 / alpha) * (l - y) * 1(y &lt; l)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 xml:space="preserve">         + (2 / alpha) * (y - u) * 1(y &gt; u)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WIS = [0.5 * abs(y - m) + (alpha / 2) * IS_alpha] / 1.5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Coverage and sharpness were reported as: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coverage_90 = mean(q05 &lt;= observed &lt;= q95)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interval_width = mean(q95 - q05)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MAE = mean(abs(observed - q50))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Brier = mean((P(Y &gt; 0) - 1(observed &gt; 0))^2)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F. Missing-Data Handling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Continuous features were imputed with training-set medians. Binary features were imputed with training-set modes. Missingness indicators were retained where defined. Features with greater than 40% training missingness were excluded unless they were required surveillance-history features.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G. Feature-Screening Rules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Feature screening was performed inside the training workflow. The rules were:</w:t>
      </w:r>
    </w:p>
    <w:p>
      <w:pPr>
        <w:pStyle w:val="ListNumber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Remove high-missingness features.</w:t>
      </w:r>
    </w:p>
    <w:p>
      <w:pPr>
        <w:pStyle w:val="ListNumber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Remove constant features in the training matrix.</w:t>
      </w:r>
    </w:p>
    <w:p>
      <w:pPr>
        <w:pStyle w:val="ListNumber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Remove duplicate columns.</w:t>
      </w:r>
    </w:p>
    <w:p>
      <w:pPr>
        <w:pStyle w:val="ListNumber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Remove highly correlated numeric predictors with absolute training correlation greater than 0.95.</w:t>
      </w:r>
    </w:p>
    <w:p>
      <w:pPr>
        <w:pStyle w:val="ListNumber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Cap the pre-one-hot feature set at 25 variables using the prespecified feature-family priority order.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H. Baseline Model Formulas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Last-observed country-rate baseline: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r_hat_it = incidence_i,t-1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mu_hat_it = r_hat_it / 100,000 * population_it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Y_it ~ Poisson(mu_hat_it)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 historical mean-rate baseline: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r_hat_it = mean(incidence_i,s for all s &lt; t)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mu_hat_it = r_hat_it / 100,000 * population_it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Y_it ~ Poisson(mu_hat_it)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Empirical negative-binomial baseline: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alpha_nb = max((var(y_train) - mean(y_train)) / mean(y_train)^2, 1e-6)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size = 1 / alpha_nb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prob = size / (size + mu_hat_it)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Y_it ~ NegBin(size, prob)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I. Penalized Poisson Model Details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exploratory count model used a log population offset: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log(mu_it) = log(population_it / 100,000) + beta_0 + X_it beta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ridge penalty was applied only to non-intercept coefficients. The penalty parameter was selected on 2022 validation WIS from {0.01, 0.1, 1, 10}. The best 2023 model used the land-use block with alpha = 0.01 but covered only 9/28 observations. Coefficients are penalized, exploratory, and not inferential.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J. Surveillance-Quality Sensitivity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sensitivity report is stored at: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docs/submission_eid/reports/surveillance_quality_sensitivity.md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Scenarios included primary all rows, Belgium 2023 exclusion, Cyprus 2023 exclusion, combined Belgium/Cyprus exclusion, retained flagged-row indicator, and COVID-era training exclusions. No scenario supported promotion of a public covariate model.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K. Leave-One-Country-Out Influence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influence report is stored at: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docs/submission_eid/reports/country_influence.md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Finland and Germany were pre-specified influence checks because ECDC reported that they accounted for 60.5% of 2023 reported cases. Removing either country did not make a covariate block outperform surveillance baselines.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L. Calibration Localization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calibration-localization report is stored at: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docs/submission_eid/reports/calibration_localization.md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table lists each 2023 country prediction, observed count, lower 90% bound, median, upper 90% bound, coverage indicator, interval width, absolute error, and source-quality flag.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M. Detectability Simulation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detectability report is stored at: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docs/submission_eid/reports/detectability_screen.md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simulation preserves the observed country-year structure and country populations, then tests effect sizes from none to large across low, observed-like, and high overdispersion and with/without observed-like missingness patterns. The maximum null covariate-selection probability was 0.000 under the conservative selection rule.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Interpretation is limited: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Simulation results do not validate model skill; they indicate that this sample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structure has limited ability to detect modest covariate effects under the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tested assumptions.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N. MODIS Exclusion Gate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MODIS MOD13C2 NDVI/EVI is not used in primary models. The source manifest exists, but quality-masked country-year aggregation was not implemented and audited. The manuscript therefore makes no vegetation claims.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O. Reproducibility Commands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Core commands: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-m pip install -e ".[dev,geo]"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tools/create_ecdc_case_table.py --accessed-date 2026-05-14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tools/validate_international_cases.py --strict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tools/download_faostat_land_use.py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tools/create_terraclimate_manifest.py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tools/download_natural_earth_countries.py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tools/aggregate_terraclimate_country_year.py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tools/build_international_dataset.py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tools/run_international_baselines.py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tools/run_feature_ablation.py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tools/run_count_models.py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tools/write_eid_model_inputs_table.py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tools/run_surveillance_quality_sensitivity.py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tools/run_country_influence.py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tools/write_calibration_localization.py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tools/run_detectability_screen.py --iterations 100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tools/create_eid_figures.py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tools/build_eid_docx.py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tools/check_eid_submission_readiness.py --strict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-m pytest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python -m ruff check src tests tools</w:t>
      </w:r>
    </w:p>
    <w:p>
      <w:pPr>
        <w:spacing w:before="0" w:after="0" w:line="480" w:lineRule="auto"/>
        <w:jc w:val="left"/>
      </w:pPr>
      <w:r>
        <w:rPr>
          <w:rFonts w:ascii="Courier New" w:hAnsi="Courier New"/>
          <w:b w:val="0"/>
          <w:i w:val="0"/>
          <w:sz w:val="20"/>
        </w:rPr>
        <w:t>git diff --check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