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480" w:lineRule="auto"/>
        <w:jc w:val="left"/>
      </w:pPr>
      <w:r>
        <w:rPr>
          <w:rFonts w:ascii="Times New Roman" w:hAnsi="Times New Roman"/>
          <w:b/>
          <w:i w:val="0"/>
          <w:sz w:val="28"/>
        </w:rPr>
        <w:t>Appendix: Methods and EID Evidence Package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A. Source Audit and Data Construction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benchmark uses public aggregate EU/EEA country-year reported hantavirus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surveillance labels for 2019-2023. Annual totals reconcile exactly to ECDC: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4,088; 1,693; 4,947; 2,185; and 1,885 reported cases. Belgium 2023 and Cyprus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2023 are flagged as source-quality grade C; all other rows are grade B.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Primary source and model-input files: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- docs/submission_eid/tables/table1_model_inputs.csv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- docs/submission_eid/tables/table1_model_inputs.md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- docs/submission_eid/reproducibility_manifest.md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B. Complete Feature Dictionary and Inclusion Logic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complete EID Table 1 contains category, variable name, definition, unit,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source, years available, lag, training range, missingness counts, missingness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rule, feature-set inclusion, rationale, limitation, and leakage check.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Feature blocks: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1. Surveillance only: target year, pandemic-period indicator, lagged country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 rate summaries, regional history, and overall panel history.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2. Context: surveillance plus World Bank rurality and GDP.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3. Land use: context plus FAOSTAT land-use shares.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4. Climate: land use plus TerraClimate lag-1 climate and water-balance summaries.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5. All public: climate plus ECDC/source-quality metadata.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MODIS NDVI/EVI is documented as an excluded candidate because quality-masked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country-year aggregation was not implemented and audited for this submission.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C. Model Schematic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Appendix Figure model_schematic shows the workflow: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text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ECDC labels -&gt; public covariate joins -&gt; training-only imputation/screening -&gt;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baselines and covariate blocks -&gt; 2022 validation / 2023 locked test -&gt;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WIS, coverage, width, MAE, Brier -&gt; sensitivity, influence, detectability</w:t>
      </w:r>
    </w:p>
    <w:p>
      <w:pPr>
        <w:spacing w:before="0" w:after="0" w:line="480" w:lineRule="auto"/>
        <w:jc w:val="left"/>
      </w:pP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schematic is stored at: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text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docs/submission_eid/figures/Appendix_Figure_model_schematic.tif</w:t>
      </w:r>
    </w:p>
    <w:p>
      <w:pPr>
        <w:spacing w:before="0" w:after="0" w:line="480" w:lineRule="auto"/>
        <w:jc w:val="left"/>
      </w:pP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D. Forecasting Workflow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Primary split: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text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train: 2019-2021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validate: 2022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test: 2023</w:t>
      </w:r>
    </w:p>
    <w:p>
      <w:pPr>
        <w:spacing w:before="0" w:after="0" w:line="480" w:lineRule="auto"/>
        <w:jc w:val="left"/>
      </w:pP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All imputation, feature screening, and tuning steps use training rows or the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validation year only. Target-year case counts are never used as predictors.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E. Weighted Interval Score Details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For observed count y, lower bound l, upper bound u, median m, and alpha = 0.10: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text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IS_alpha = (u - l)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       + (2 / alpha) </w:t>
      </w:r>
      <w:r>
        <w:rPr>
          <w:rFonts w:ascii="Times New Roman" w:hAnsi="Times New Roman"/>
          <w:b w:val="0"/>
          <w:i/>
          <w:sz w:val="24"/>
        </w:rPr>
        <w:t xml:space="preserve"> (l - y) </w:t>
      </w:r>
      <w:r>
        <w:rPr>
          <w:rFonts w:ascii="Times New Roman" w:hAnsi="Times New Roman"/>
          <w:b w:val="0"/>
          <w:i w:val="0"/>
          <w:sz w:val="24"/>
        </w:rPr>
        <w:t xml:space="preserve"> 1(y &lt; l)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       + (2 / alpha) </w:t>
      </w:r>
      <w:r>
        <w:rPr>
          <w:rFonts w:ascii="Times New Roman" w:hAnsi="Times New Roman"/>
          <w:b w:val="0"/>
          <w:i/>
          <w:sz w:val="24"/>
        </w:rPr>
        <w:t xml:space="preserve"> (y - u) </w:t>
      </w:r>
      <w:r>
        <w:rPr>
          <w:rFonts w:ascii="Times New Roman" w:hAnsi="Times New Roman"/>
          <w:b w:val="0"/>
          <w:i w:val="0"/>
          <w:sz w:val="24"/>
        </w:rPr>
        <w:t xml:space="preserve"> 1(y &gt; u)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WIS = [0.5 </w:t>
      </w:r>
      <w:r>
        <w:rPr>
          <w:rFonts w:ascii="Times New Roman" w:hAnsi="Times New Roman"/>
          <w:b w:val="0"/>
          <w:i/>
          <w:sz w:val="24"/>
        </w:rPr>
        <w:t xml:space="preserve"> abs(y - m) + (alpha / 2) </w:t>
      </w:r>
      <w:r>
        <w:rPr>
          <w:rFonts w:ascii="Times New Roman" w:hAnsi="Times New Roman"/>
          <w:b w:val="0"/>
          <w:i w:val="0"/>
          <w:sz w:val="24"/>
        </w:rPr>
        <w:t xml:space="preserve"> IS_alpha] / 1.5</w:t>
      </w:r>
    </w:p>
    <w:p>
      <w:pPr>
        <w:spacing w:before="0" w:after="0" w:line="480" w:lineRule="auto"/>
        <w:jc w:val="left"/>
      </w:pP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Coverage and sharpness were reported as: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text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coverage_90 = mean(q05 &lt;= observed &lt;= q95)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interval_width = mean(q95 - q05)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MAE = mean(abs(observed - q50))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Brier = mean((P(Y &gt; 0) - 1(observed &gt; 0))^2)</w:t>
      </w:r>
    </w:p>
    <w:p>
      <w:pPr>
        <w:spacing w:before="0" w:after="0" w:line="480" w:lineRule="auto"/>
        <w:jc w:val="left"/>
      </w:pP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F. Missing-Data Handling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Continuous features were imputed with training-set medians. Binary features were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imputed with training-set modes. Missingness indicators were retained where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defined. Features with greater than 40% training missingness were excluded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unless they were required surveillance-history features.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G. Feature-Screening Rules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Feature screening was performed inside the training workflow. The rules were: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1. Remove high-missingness features.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2. Remove constant features in the training matrix.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3. Remove duplicate columns.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4. Remove highly correlated numeric predictors with absolute training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 correlation greater than 0.95.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5. Cap the pre-one-hot feature set at 25 variables using the prespecified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 feature-family priority order.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H. Baseline Model Formulas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Last-observed country-rate baseline: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text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r_hat_it = incidence_i,t-1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mu_hat_it = r_hat_it / 100,000 * population_it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Y_it ~ Poisson(mu_hat_it)</w:t>
      </w:r>
    </w:p>
    <w:p>
      <w:pPr>
        <w:spacing w:before="0" w:after="0" w:line="480" w:lineRule="auto"/>
        <w:jc w:val="left"/>
      </w:pP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Country historical mean-rate baseline: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text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r_hat_it = mean(incidence_i,s for all s &lt; t)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mu_hat_it = r_hat_it / 100,000 * population_it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Y_it ~ Poisson(mu_hat_it)</w:t>
      </w:r>
    </w:p>
    <w:p>
      <w:pPr>
        <w:spacing w:before="0" w:after="0" w:line="480" w:lineRule="auto"/>
        <w:jc w:val="left"/>
      </w:pP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Empirical negative-binomial baseline: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text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alpha_nb = max((var(y_train) - mean(y_train)) / mean(y_train)^2, 1e-6)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size = 1 / alpha_nb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prob = size / (size + mu_hat_it)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Y_it ~ NegBin(size, prob)</w:t>
      </w:r>
    </w:p>
    <w:p>
      <w:pPr>
        <w:spacing w:before="0" w:after="0" w:line="480" w:lineRule="auto"/>
        <w:jc w:val="left"/>
      </w:pP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I. Penalized Poisson Model Details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exploratory count model used a log population offset: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text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log(mu_it) = log(population_it / 100,000) + beta_0 + X_it beta</w:t>
      </w:r>
    </w:p>
    <w:p>
      <w:pPr>
        <w:spacing w:before="0" w:after="0" w:line="480" w:lineRule="auto"/>
        <w:jc w:val="left"/>
      </w:pP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ridge penalty was applied only to non-intercept coefficients. The penalty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parameter was selected on 2022 validation WIS from {0.01, 0.1, 1, 10}. The best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2023 model used the land-use block with alpha = 0.01 but covered only 9/28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observations. Coefficients are penalized, exploratory, and not inferential.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J. Surveillance-Quality Sensitivity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sensitivity report is stored at: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text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docs/submission_eid/reports/surveillance_quality_sensitivity.md</w:t>
      </w:r>
    </w:p>
    <w:p>
      <w:pPr>
        <w:spacing w:before="0" w:after="0" w:line="480" w:lineRule="auto"/>
        <w:jc w:val="left"/>
      </w:pP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Scenarios included primary all rows, Belgium 2023 exclusion, Cyprus 2023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exclusion, combined Belgium/Cyprus exclusion, retained flagged-row indicator,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and COVID-era training exclusions. No scenario supported promotion of a public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covariate model.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K. Leave-One-Country-Out Influence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influence report is stored at: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text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docs/submission_eid/reports/country_influence.md</w:t>
      </w:r>
    </w:p>
    <w:p>
      <w:pPr>
        <w:spacing w:before="0" w:after="0" w:line="480" w:lineRule="auto"/>
        <w:jc w:val="left"/>
      </w:pP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Finland and Germany were pre-specified influence checks because ECDC reported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that they accounted for 60.5% of 2023 reported cases. Removing either country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did not make a covariate block outperform surveillance baselines.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L. Calibration Localization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calibration-localization report is stored at: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text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docs/submission_eid/reports/calibration_localization.md</w:t>
      </w:r>
    </w:p>
    <w:p>
      <w:pPr>
        <w:spacing w:before="0" w:after="0" w:line="480" w:lineRule="auto"/>
        <w:jc w:val="left"/>
      </w:pP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table lists each 2023 country prediction, observed count, lower 90% bound,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median, upper 90% bound, coverage indicator, interval width, absolute error, and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source-quality flag.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M. Detectability Simulation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detectability report is stored at: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text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docs/submission_eid/reports/detectability_screen.md</w:t>
      </w:r>
    </w:p>
    <w:p>
      <w:pPr>
        <w:spacing w:before="0" w:after="0" w:line="480" w:lineRule="auto"/>
        <w:jc w:val="left"/>
      </w:pP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simulation preserves the observed country-year structure and country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populations, then tests effect sizes from none to large across low,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observed-like, and high overdispersion and with/without observed-like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missingness patterns. The maximum null covariate-selection probability was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0.000 under the conservative selection rule.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Interpretation is limited: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text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Simulation results do not validate model skill; they indicate that this sample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structure has limited ability to detect modest covariate effects under the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tested assumptions.</w:t>
      </w:r>
    </w:p>
    <w:p>
      <w:pPr>
        <w:spacing w:before="0" w:after="0" w:line="480" w:lineRule="auto"/>
        <w:jc w:val="left"/>
      </w:pP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N. MODIS Exclusion Gate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MODIS MOD13C2 NDVI/EVI is not used in primary models. The source manifest exists,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but quality-masked country-year aggregation was not implemented and audited.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manuscript therefore makes no vegetation claims.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O. Reproducibility Commands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Core commands: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powershell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python -m pip install -e ".[dev,geo]"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python tools/create_ecdc_case_table.py --accessed-date 2026-05-14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python tools/validate_international_cases.py --strict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python tools/download_faostat_land_use.py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python tools/create_terraclimate_manifest.py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python tools/download_natural_earth_countries.py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python tools/aggregate_terraclimate_country_year.py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python tools/build_international_dataset.py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python tools/run_international_baselines.py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python tools/run_feature_ablation.py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python tools/run_count_models.py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python tools/write_eid_model_inputs_table.py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python tools/run_surveillance_quality_sensitivity.py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python tools/run_country_influence.py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python tools/write_calibration_localization.py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python tools/run_detectability_screen.py --iterations 100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python tools/create_eid_figures.py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python tools/build_eid_docx.py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python tools/check_eid_submission_readiness.py --strict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python -m pytest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python -m ruff check src tests tools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git diff --check</w:t>
      </w:r>
    </w:p>
    <w:p>
      <w:pPr>
        <w:spacing w:before="0" w:after="0" w:line="480" w:lineRule="auto"/>
        <w:jc w:val="left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  <w:lnNumType w:start="1" w:countBy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