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Cover Letter for Emerging Infectious Diseases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May 14, 2026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To the Editors,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/>
          <w:sz w:val="24"/>
        </w:rPr>
        <w:t>Emerging Infectious Diseases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We plan to submit "Sparse Public Surveillance Limits Forecasting of Reported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 Incidence, European Union and European Economic Area, 2019-2023"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consideration as a Research article in </w:t>
      </w:r>
      <w:r>
        <w:rPr>
          <w:rFonts w:ascii="Times New Roman" w:hAnsi="Times New Roman"/>
          <w:b w:val="0"/>
          <w:i/>
          <w:sz w:val="24"/>
        </w:rPr>
        <w:t>Emerging Infectious Diseases</w:t>
      </w:r>
      <w:r>
        <w:rPr>
          <w:rFonts w:ascii="Times New Roman" w:hAnsi="Times New Roman"/>
          <w:b w:val="0"/>
          <w:i w:val="0"/>
          <w:sz w:val="24"/>
        </w:rPr>
        <w:t xml:space="preserve"> after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remaining EID modeling-compliance analyses are complete.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manuscript reports a reproducible public-surveillance benchmark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reported hantavirus incidence in EU/EEA countries, 2019-2023. Its public-health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contribution is not a deployable prediction system. The contribution is 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calibration-aware evaluation showing that sparse annual public data do not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support strong covariate-driven forecasting claims and that simple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surveillance-history baselines remain difficult to beat.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final submission should emphasize four contributions relevant to EID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readers: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1. Exact reconciliation of 2019-2023 ECDC annual hantavirus totals across 142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EU/EEA country-years.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2. Probabilistic evaluation using weighted interval score, 90% empirical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coverage, interval width, mean absolute error, and Brier score.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3. Transparent negative or mixed results showing that public demographic,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land-use, climate, and source-quality covariates did not produce stable,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calibrated improvement over surveillance-history baselines.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4. EID-specific sensitivity, influence, calibration-localization,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detectability analyses that identify surveillance standardization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uncertainty reporting as practical constraints.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does not claim operational risk prediction, causal environmental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drivers, individual-level risk, within-country risk, or generalizability beyond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EU/EEA annual reported surveillance. All analyses are retrospective.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individual-level, clinical, address-level, or restricted data were used;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institutional review was not required.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and reproducibility scripts are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archived at https://doi.org/10.5281/zenodo.20150542. Before final submission,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DOI will be verified against the final clean archive version. Source data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 from ECDC, World Bank, FAOSTAT, TerraClimate, and Natural Earth.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manuscript has not been submitted elsewhere. The author has no competing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interests and received no external funding for this work. The author will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confirm final approval at submission.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Sincerely,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Independent researcher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bubgaming3@gmail.com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ORCID: 0009-0003-7234-2245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