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TITLE PAGE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Title: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Sparse Public Surveillance Limits Forecasting of Reported Hantavirus Incidence,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European Union and European Economic Area, 2019-2023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Running head: Hantavirus Forecasting Limits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Author: 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Affiliation: Independent researcher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ORCID: 0009-0003-7234-2245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Corresponding author: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Email: bubgaming3@gmail.com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Word count (abstract): 134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**Word count (text, excluding abstract, acknowledgments, references, tables,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legends):** 3,280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One-sentence summary: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Simple surveillance-history baselines outperformed covariate-rich models,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underscoring limits of sparse annual public data for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Keywords: hantavirus; zoonoses; disease surveillance; EU/EEA; probabilistic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forecasting; calibration; public health communication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 hantavirus surveillance reports are essential for public health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monitoring, but their ability to support country-level forecasting across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heterogeneous surveillance systems is unclear. We assembled a European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Union/European Economic Area country-year benchmark of reported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for 2019-2023 and linked labels to public demographic, land-use,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climate, and source-quality covariates. Rebuilt annual totals matched ECDC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reports across 142 country-years. We evaluated one-year-ahead probabilistic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forecasts using weighted interval score, 90% empirical coverage, interval width,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mean absolute error, Brier score, and sensitivity analyses. Simple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surveillance-history baselines outperformed covariate-augmented models. In 2023,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lowest weighted interval score came from a sharp baseline that undercovered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observations, 16/28, whereas negative-binomial baselines covered all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observations with wide intervals. Public covariates did not provide stable,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calibrated gains. Standardized completeness metadata and calibrated uncertainty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reporting are prerequisites for stronger pan-European forecasting.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TEXT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Introduction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Hantaviruses are single-stranded RNA viruses transmitted to humans primarily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through contact with infected rodent excreta, including urine, feces,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saliva (1,3). In Europe and Asia, the principal clinical syndrome caused by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 is hemorrhagic fever with renal syndrome (HFRS). European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HFRS is driven principally by Puumala virus, whose reservoir is the bank vole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</w:t>
      </w:r>
      <w:r>
        <w:rPr>
          <w:rFonts w:ascii="Times New Roman" w:hAnsi="Times New Roman"/>
          <w:b w:val="0"/>
          <w:i/>
          <w:sz w:val="24"/>
        </w:rPr>
        <w:t>Myodes glareolus</w:t>
      </w:r>
      <w:r>
        <w:rPr>
          <w:rFonts w:ascii="Times New Roman" w:hAnsi="Times New Roman"/>
          <w:b w:val="0"/>
          <w:i w:val="0"/>
          <w:sz w:val="24"/>
        </w:rPr>
        <w:t>), in northern and central Europe, and Dobrava-Belgrade 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southeastern Europe (2). In the Americas, hantaviruses cause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pulmonary syndrome (HPS) and hantavirus cardiopulmonary syndrome (HCPS). Andes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virus is exceptional among hantaviruses: limited person-to-person transmission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has been reported in Argentina and Chile, an epidemiologic feature not documented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European hantaviruses (3).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 is reportable in the EU/EEA under the EU case definition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hantavirus infection. In 2023, ECDC reported 1,885 confirmed and probable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cases from 28 EU/EEA countries, a population-weighted incidence of approximately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0.4 per 100,000 population; Finland and Germany accounted for most reported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cases (4). Annual European counts are cyclic, reflecting multi-year rodent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reservoir dynamics and mast seeding events that drive bank vole population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peaks (5). This cyclicity makes qualitative risk recognizable, but quantitative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country-level prediction from public annual data remains uncertain.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 attention to hantavirus can exceed what sparse annual surveillance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can resolve. In May 2026, WHO reported a cluster of Andes virus infection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associated with cruise ship travel (6). ECDC assessed risk to the general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population in Europe as very low and noted that the natural reservoir for Andes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virus is not present in Europe (7). Events of this type illustrate how rare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zoonotic clusters amplified by international travel news can invite overconfident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interpretation of limited surveillance data. The social amplification of risk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framework describes how rare-event information can generate perceived risk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disproportionate to epidemiologic probability (8). Probabilistic benchmarks that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quantify what sparse public annual data can and cannot support are therefore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useful for surveillance researchers and public health communicators.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Despite a substantial literature on European hantavirus spatial risk mapping (9),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rodent host dynamics and virus-host coevolution (10), and environmental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ecological drivers of hantavirus emergence (11), the predictive limits of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surveillance data have rarely been benchmarked with probabilistic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metrics that jointly assess forecast sharpness and calibration. Most published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risk models either use within-country subnational data, focus 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qualitative or ordinal risk categories, or do not evaluate probabilistic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forecast uncertainty against held-out observations. Absence of a reproducible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benchmark makes it difficult for public health practitioners to gauge whether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proposed covariate or model meaningfully improves upon surveillance history.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does not estimate true infection burden or produce operational alerts;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it evaluates what public annual country-level surveillance can support when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assessed with transparent probabilistic metrics. The contributions are: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(i) exact reconciliation of 2019-2023 ECDC annual hantavirus totals across 142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EU/EEA country-years; (ii) linkage to public demographic, land-use, and climate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covariates with documented provenance; (iii) retrospective one-year-ahead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probabilistic evaluation using weighted interval score and calibration-sharpness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metrics; and (iv) transparent reporting of a negative result: public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did not improve stable, calibrated performance over simple surveillance-history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baselines. Transparent benchmarks are especially important when public attention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rare zoonoses can amplify perceived risk faster than annual surveillance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can resolve it.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Methods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Surveillance outcome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primary data source was the ECDC Annual Epidemiological Report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infection, which publishes EU/EEA country-year reported case counts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population-weighted incidence per 100,000 population (4). We manually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extracted annual totals for EU/EEA countries for 2019-2023, yielding 142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rows. Country inclusion in each year reflects the ECDC reporting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table; the number of countries reporting ranged from 28 to 29 per year.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United Kingdom was excluded from the primary balanced panel because UK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data were not reported by ECDC from 2020 onward following EU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withdrawal; UK rows are excluded from all analyses.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Each country-year was assigned a surveillance quality grade based on the ECDC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 notation. Rows described as "comprehensive" surveillance were assigned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grade B. Belgium 2023 was assigned quality grade C because the ECDC 2023 report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noted a surveillance-system change and did not publish a calculated incidence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rate. Cyprus 2023 was assigned quality grade C for unspecified completeness. All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remaining 140 rows were grade B. Grade-C rows were included in primary analyses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excluded in one sensitivity scenario.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primary outcome was annual reported cases per country-year. Country-year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reported incidence per 100,000 population was computed from reported cases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World Bank population denominators. Exact formulas for incidence, forecast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distributions, and evaluation metrics are provided in the Appendix.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Public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linked ECDC case rows to five public covariate sources using ISO 3166-1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alpha-3 country codes and year.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World Bank Open Data</w:t>
      </w:r>
      <w:r>
        <w:rPr>
          <w:rFonts w:ascii="Times New Roman" w:hAnsi="Times New Roman"/>
          <w:b w:val="0"/>
          <w:i w:val="0"/>
          <w:sz w:val="24"/>
        </w:rPr>
        <w:t xml:space="preserve"> provided country-year total population, rural population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fraction, and GDP per capita in purchasing power parity terms (constant 2017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international dollars) (12). Data were available for all 142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FAOSTAT</w:t>
      </w:r>
      <w:r>
        <w:rPr>
          <w:rFonts w:ascii="Times New Roman" w:hAnsi="Times New Roman"/>
          <w:b w:val="0"/>
          <w:i w:val="0"/>
          <w:sz w:val="24"/>
        </w:rPr>
        <w:t xml:space="preserve"> provided country-year land-use shares including forest area fraction,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cropland fraction, and permanent meadows and pastures fraction, aggregated to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matched country-year records (13). Data were available for all 142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TerraClimate</w:t>
      </w:r>
      <w:r>
        <w:rPr>
          <w:rFonts w:ascii="Times New Roman" w:hAnsi="Times New Roman"/>
          <w:b w:val="0"/>
          <w:i w:val="0"/>
          <w:sz w:val="24"/>
        </w:rPr>
        <w:t xml:space="preserve"> provided country-year summaries of mean temperature, total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precipitation, maximum temperature, minimum temperature, soil moisture,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Palmer Drought Severity Index (PDSI), aggregated to country boundaries using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Natural Earth polygons and spatial averaging (14). Lag-1 versions (prior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calendar year) of six climate variables were computed to capture the seasonal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mast and rodent dynamics that precede hantavirus exposure in the following year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to avoid temporal leakage of target-year climate information into forecasts.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Lag-1 features were available for 114 non-2019 country-year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Natural Earth</w:t>
      </w:r>
      <w:r>
        <w:rPr>
          <w:rFonts w:ascii="Times New Roman" w:hAnsi="Times New Roman"/>
          <w:b w:val="0"/>
          <w:i w:val="0"/>
          <w:sz w:val="24"/>
        </w:rPr>
        <w:t xml:space="preserve"> provided 1:50m resolution Admin-0 country boundary shapefiles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used for spatial aggregation and mapping (15).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MODIS MOD13C2 Collection 6.1</w:t>
      </w:r>
      <w:r>
        <w:rPr>
          <w:rFonts w:ascii="Times New Roman" w:hAnsi="Times New Roman"/>
          <w:b w:val="0"/>
          <w:i w:val="0"/>
          <w:sz w:val="24"/>
        </w:rPr>
        <w:t xml:space="preserve"> NDVI and EVI were targeted as vegetation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covariates because vegetation conditions influence rodent food supply. However,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quality-masked country-year aggregation of MODIS tiles did not pass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pre-specified inclusion gate in this study; consequently, MODIS was excluded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no vegetation or NDVI claims are made in this paper.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Retrospective evaluation design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evaluations were retrospective one-year-ahead benchmarks; no prospective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validation against future data was conducted. The primary temporal split used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data from 2019-2021 as the training window, 2022 as the validation year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hyperparameter selection, and 2023 as the held-out test year. No 2023 outcome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information was used at any stage of model fitting, feature screening, 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hyperparameter selection.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covariate-augmented model was promoted over simple baselines only if it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satisfied all of the following: (i) 2023 WIS was at most 95% of the best simple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 WIS, or WIS was comparable and coverage was closer to 0.90; (ii) 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90% coverage was not lower than the best simple baseline by more than 0.05;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(iii) interval width was interpretable and not merely inflated; (iv) no 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outcome information was used in tuning; and (v) no causal interpretation was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made from coefficients. Leave-one-year-out sensitivity analyses used targets 2021,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2022, and 2023, training on all preceding years in each case.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Forecast baselines and covariate-block evaluation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evaluated six model families: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Simple surveillance-history baselines.</w:t>
      </w:r>
      <w:r>
        <w:rPr>
          <w:rFonts w:ascii="Times New Roman" w:hAnsi="Times New Roman"/>
          <w:b w:val="0"/>
          <w:i w:val="0"/>
          <w:sz w:val="24"/>
        </w:rPr>
        <w:t xml:space="preserve"> The last-observed country-rate baseline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set the predicted incidence rate for target year t to the observed country rate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year t-1; the predicted count was the product of the lagged rate and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target-year population. The country historical mean-rate baseline used the mean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of all prior observed country rates. For both baselines, prediction intervals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were derived from Poisson quantiles at 0.05, 0.50, and 0.95 using the predicted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 as the Poisson mean.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Negative-binomial baselines.</w:t>
      </w:r>
      <w:r>
        <w:rPr>
          <w:rFonts w:ascii="Times New Roman" w:hAnsi="Times New Roman"/>
          <w:b w:val="0"/>
          <w:i w:val="0"/>
          <w:sz w:val="24"/>
        </w:rPr>
        <w:t xml:space="preserve"> The empirical negative-binomial baseline fitted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distribution to training counts, estimating overdispersion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as alpha = max((var(y_train) - mean(y_train)) / mean(y_train)^2, 10-6) and deriving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prediction intervals from the resulting distribution. The hierarchical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baseline shrunk each country's historical mean rate toward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regional panel mean using a shrinkage weight lambda_i = n_i/(n_i + k), where n_i is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number of prior observations for country i and k was selected on the 2022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validation WIS. These baselines provided conservative uncertainty references;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their overdispersion parameters were not interpreted as biological transmission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parameters.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Covariate-block evaluation.</w:t>
      </w:r>
      <w:r>
        <w:rPr>
          <w:rFonts w:ascii="Times New Roman" w:hAnsi="Times New Roman"/>
          <w:b w:val="0"/>
          <w:i w:val="0"/>
          <w:sz w:val="24"/>
        </w:rPr>
        <w:t xml:space="preserve"> Nested feature blocks were constructed sequentially: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history only (lagged country and panel surveillance summaries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target-year indicators); plus demographic context (World Bank population,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rurality, GDP); plus land-use (FAOSTAT land-use shares); plus climate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water-balance (TerraClimate six-variable lag-1 block); plus source-quality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metadata (surveillance-completeness flags). Imputation parameters (median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continuous variables, mode for binary) were fitted exclusively on training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Constant, duplicate, and high-missingness features (&gt;40% missing) were removed,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highly correlated numeric features (|r| &gt; 0.95 in training) were excluded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before fitting. The final modeling matrix contained &lt;=25 features before any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one-hot encoding. A gradient-boosting quantile regressor was fitted for each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block on the training window, with all hyperparameters fixed by validation-year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WIS. We refer to this procedure as covariate-block evaluation rather than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feature ablation to emphasize that each block is evaluated for practical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value, not for causal attribution.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Penalized Poisson count model (exploratory).</w:t>
      </w:r>
      <w:r>
        <w:rPr>
          <w:rFonts w:ascii="Times New Roman" w:hAnsi="Times New Roman"/>
          <w:b w:val="0"/>
          <w:i w:val="0"/>
          <w:sz w:val="24"/>
        </w:rPr>
        <w:t xml:space="preserve"> A ridge-penalized Poisson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generalized linear model with a log population offset was fitted for each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 block. The ridge penalty was applied to non-intercept coefficients; the penalty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parameter alpha was selected on 2022 validation WIS from the set {0.01, 0.1, 1, 10}.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model was evaluated exploratorily, and coefficients were not interpreted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causally.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Evaluation metrics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Primary metrics were: (i) weighted interval score (WIS), computed for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central 90% prediction interval per Bracher et al. (16); (ii) 90% empirical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coverage, reported as numerator/denominator (e.g., 16/28) and fraction;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(iii) mean 90% interval width; (iv) mean absolute error (MAE) against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median prediction; (v) Brier score for any reported case (threshold: &gt;=1 case).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Lower WIS indicates better combined sharpness and calibration. Coverage near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0.90 is nominal; below-nominal coverage indicates underestimated uncertainty;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above-nominal indicates over-wide intervals. No model was ranked by WIS alone: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and interval width must be read jointly with WIS to characterize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calibration-sharpness tradeoff.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Sensitivity analyses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Three sensitivity scenarios were pre-specified: (i) all 142 rows (primary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analysis); (ii) excluding grade-C rows, removing Belgium 2023 and Cyprus 2023;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and (iii) excluding 2020-2021 COVID-era training rows, where sample size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permitted. Because COVID-era health-system disruption may have affected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reporting completeness and behavior, the third scenario tested whether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main negative result depended on potentially anomalous training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Ethics and reproducibility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country-year public surveillance data. No individual-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level, clinical, address-level, or restricted human-subject data were used;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institutional review was not required. All analysis code, processed public-data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tables, and data dictionaries are archived at https://doi.org/10.5281/zenodo.20150542.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Results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Dataset reconciliation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rebuilt ECDC case table contained 142 country-year rows across 28-29 EU/EEA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countries for 2019-2023. Annual totals reconciled exactly to ECDC published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figures: 4,088 cases in 2019, 1,693 in 2020, 4,947 in 2021, 2,185 in 2022,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1,885 in 2023 (Table 1). The marked decrease in 2020 and partial recovery in 2021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likely reflect both natural rodent population dynamics and COVID-era reporting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disruptions that are documented in ECDC surveillance notes. Of 142 rows, 140 were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grade B (comprehensive); Belgium 2023 and Cyprus 2023 were assigned grade C.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missing values were present for World Bank or FAOSTAT covariates. TerraClimate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lag-1 climate features were complete for all 114 non-2019 country-year rows.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MODIS vegetation data were excluded from the analysis because quality-masked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aggregation did not pass the pre-specified gate.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Baseline performance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Validation year (2022, n = 29 countries).</w:t>
      </w:r>
      <w:r>
        <w:rPr>
          <w:rFonts w:ascii="Times New Roman" w:hAnsi="Times New Roman"/>
          <w:b w:val="0"/>
          <w:i w:val="0"/>
          <w:sz w:val="24"/>
        </w:rPr>
        <w:t xml:space="preserve"> The empirical negative-binomial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 achieved the lowest WIS (47.17) and complete 90% coverage (29/29,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100%), but at the cost of very wide prediction intervals (mean width 694.2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reported cases; Table 2). The country historical mean-rate baseline had narrower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intervals (21.07 cases) but higher WIS (65.58) and below-nominal coverage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(18/29, 62%). The last-observed country-rate baseline performed poorly in 2022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(WIS 101.5; coverage 16/29, 55%).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Test year (2023, n = 28 countries).</w:t>
      </w:r>
      <w:r>
        <w:rPr>
          <w:rFonts w:ascii="Times New Roman" w:hAnsi="Times New Roman"/>
          <w:b w:val="0"/>
          <w:i w:val="0"/>
          <w:sz w:val="24"/>
        </w:rPr>
        <w:t xml:space="preserve"> The last-observed country-rate baseline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achieved the lowest WIS (42.86) and the narrowest mean prediction intervals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(14.61 reported cases), but its 90% empirical coverage was substantially below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nominal (16/28, 57%). The empirical and hierarchical negative-binomial baselines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covered all 28 observed counts (28/28, 100%) but used substantially wider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prediction intervals (mean width approximately 660 reported cases). The country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historical mean-rate baseline had an intermediate WIS (52.47) but below-nominal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(15/28, 54%).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2023 results exposed a pronounced calibration-sharpness tradeoff (Figure 2):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sharpest baseline undercovered observed counts; the best-covering baselines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used implausibly wide intervals that would be uninformative for surveillance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communication. No single baseline simultaneously achieved near-nominal 90%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and meaningfully narrow prediction intervals.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Covariate-block evaluation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None of the five covariate blocks passed the pre-specified promotion rule in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test year. The best-performing covariate block in 2023 was the land-use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block (mean WIS 318.5; 90% coverage 19/28, 68%), which was more than seven times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worse on WIS than the best simple baseline (42.86). The all-public feature set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had the worst 2023 WIS among covariate blocks (331.3; coverage 18/28, 64%). All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 blocks showed substantial WIS deterioration from the 2022 validation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year to the 2023 test year: for example, the all-public block was better than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last-observed baseline in 2022 but worse than the country historical mean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baseline (WIS 74.46 vs. 65.58), then degraded sharply in 2023. This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validation-to-test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instability indicates that the covariate associations learned on the 2019-2021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training window did not transfer reliably to the 2023 test year.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demographic, land-use, and climate covariates did not provide a stable,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calibrated improvement over surveillance history at the country-year annual scale.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Penalized Poisson count model (exploratory)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best-performing penalized Poisson model in 2023 used the land-use feature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set with penalty parameter alpha = 0.01 (mean WIS 159.4; 90% coverage 9/28, 32%).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model failed the promotion rule on every criterion: WIS was more than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three times worse than the best simple baseline; coverage was approximately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one-third of the nominal 90%; interval width was narrow (28.82 cases) because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model's point estimates were too certain, producing sharp but systematically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miscalibrated forecasts. The count model exploratory results are consistent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with the gradient-boosting covariate-block evaluation: public annual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do not provide the signal needed to support calibrated country-level forecasts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sparse EU/EEA hantavirus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Country-level incidence map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1 shows country-level reported hantavirus incidence per 100,000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population for 2023. Incidence was highest in Finland and Germany, consistent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with the known ecology of Puumala virus and bank vole population peaks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northern Europe in that year. Most EU/EEA countries reported fewer than 1 case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per 100,000 or zero cases. Several countries  -  particularly in southern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eastern Europe  -  reported zero cases, reflecting a combination of genuine low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incidence and possible underdiagnosis or underreporting under heterogeneous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national surveillance systems. The map shows country-level surveillance totals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only; no within-country spatial variation is implied.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/>
          <w:sz w:val="24"/>
        </w:rPr>
        <w:t>Sensitivity analyses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Excluding grade-C rows (Belgium and Cyprus 2023, n = 26 test countries) did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 change the main conclusion: the best covariate block (land use) had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2023 WIS of 341.6 (vs. 318.5 in the primary analysis), and covariate-augmented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models did not outperform simple surveillance-history baselines. Excluding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2020-2021 COVID-era training rows shifted numerical WIS values but did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reverse the negative result; the all-public covariate block under this scenario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had a 2023 WIS of 75.85, above the best simple baseline, and approached nominal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coverage only with very wide intervals (89% coverage; mean width 764 cases).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central finding was robust across all three sensitivity scenarios.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Discussion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central finding of this benchmark is that sparse annual country-level EU/EEA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public surveillance data support transparent probabilistic evaluation but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stable covariate-driven prediction. In 2023, the lowest WIS was achieved by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 simple last-observed country-rate baseline, yet this baseline undercovered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observed counts. Negative-binomial baselines achieved complete empirical coverage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by producing prediction intervals that span hundreds of reported cases  - 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intervals that are nominally correct but operationally uninformative.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covariate-augmented model improved upon both dimensions simultaneously.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negative result is the public-health result: sparse annual public data did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support stable covariate-driven improvement over simple surveillance history.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finding should temper operational claims and motivate better surveillance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inputs rather than more complex modeling.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routine surveillance practice, the benchmark establishes two concrete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standards. First, any model proposed for EU/EEA hantavirus surveillance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evaluation should be assessed against both WIS and 90% empirical coverage,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 against point accuracy alone. A model that appears to have low mean absolute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error can simultaneously undercover observed counts, overstating confidence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its predictions. Second, simple baselines  -  last-observed rate, historical mean  - 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 stronger than they appear: their median predictions were often closer to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observations than those of covariate-augmented models, and their uncertainty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intervals were narrower and more interpretable than overdispersed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alternatives. Predictive statements from public annual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without baseline comparisons risk overstating value.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calibration-sharpness tradeoff documented here has direct relevance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risk communication during periods of heightened public attention to hantavirus.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When a surveillance system can produce a sharp forecast (narrow interval, low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WIS) only by systematically undercovering observed values, that sharpness is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 artifact of overconfidence rather than genuine predictive signal. Communicating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tradeoff to public health practitioners and to the media can help prevent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false precision that follows from reporting a point estimate without its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 context. The social amplification of risk literature documents how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overconfident quantitative claims can amplify public concern disproportionately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epidemiologic probability (8); transparent calibration benchmarks provide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practitioners with the evidence needed to resist this amplification.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value of this benchmark is not that it produces a deployable predictor.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Its value is that it makes false precision visible.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data limitations identified by this benchmark point toward productive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 improvements. Subnational data, where rodent habitat is more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homogeneous, would reduce ecological aggregation bias. Systematic reservoir host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density data would provide mechanistic signal that public climate and land-use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covariates cannot. Longer comparable annual panels would improve training sample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size and reduce dependence on COVID-era data. Better harmonization of case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definitions and surveillance completeness reporting across EU/EEA member states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would reduce the noise currently captured by quality-grade flags. These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structural improvements are more useful than adding coarser public covariates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an already sparse annual panel.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Limitations. This benchmark has five annual reporting years, which severely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limits statistical power to detect covariate effects. Country-year aggregation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masks within-country spatial and temporal heterogeneity in exposure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reporting. Reported incidence reflects reporting completeness and health-seeking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behavior as well as true infection burden; the benchmark evaluates reported counts,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 unbiased burden estimates. Reporting heterogeneity across EU/EEA member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states is documented but not fully modeled. Belgium 2023 and Cyprus 2023 carry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grade-C quality flags for surveillance-system changes. The 2020-2021 training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years may reflect COVID-era health-system disruptions that altered reporting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independently of true hantavirus incidence. All evaluations are retrospective;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prospective validation was conducted. No causal inference is made from any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covariate association. MODIS vegetation data were excluded because quality-masked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aggregation did not pass the pre-specified gate; vegetation claims are not made.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Results apply specifically to EU/EEA public annual reported surveillance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should not be generalized to other surveillance systems, syndrome definitions,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geographic settings, or temporal resolutions. This benchmark does not model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human-to-human hantavirus transmission; no such modeling was attempted.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Conclusion. An open reproducible benchmark for reported hantavirus incidence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 EU/EEA countries, 2019-2023, shows that simple surveillance-history baselines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 difficult to beat with public annual country-level data. The calibration-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sharpness tradeoff documented here quantifies the uncertainty that public health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practitioners should acknowledge when interpreting or communicating annual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surveillance data, particularly during periods of heightened public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attention to rare zoonotic events. Improving surveillance infrastructure  - 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subnational resolution, longer panels, systematic reservoir data  -  is a more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productive path to calibrated EU/EEA hantavirus risk assessment than adding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coarse public covariates to sparse annual counts.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ACKNOWLEDGMENTS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thanks the European Centre for Disease Prevention and Control (ECDC)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for publicly accessible Annual Epidemiological Reports, and the following open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data providers: World Bank Open Data, FAOSTAT, TerraClimate, and Natural Earth.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assistance was used for manuscript planning, language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editing, and pre-submission quality checks. The author verified all analyses,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references, and claims and accepts responsibility for the final manuscript.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AUTHOR BIOGRAPHY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infectious-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Jonsson CB, Figueiredo LT, Vapalahti O. A global perspective on 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ecology, epidemiology, and disease. Clin Microbiol Rev. 2010;23:412-41.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Vaheri A, Henttonen H, Voutilainen L, Mustonen J, Sironen T, Vapalahti O.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infections in Europe and their impact on public health. Rev Med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Virol. 2013;23:35-49.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World Health Organization. Hantavirus fact sheet. Geneva: WHO; 2026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[cited 2026 May 13]. https://www.who.int/news-room/fact-sheets/detail/hantavirus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European Centre for Disease Prevention and Control. Hantavirus infection.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In: ECDC. Annual Epidemiological Report for 2023. Stockholm: ECDC; 2025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[cited 2026 May 13]. https://www.ecdc.europa.eu/en/publications-data/hantavirus-infection-annual-epidemiological-report-2023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5. Voutilainen L, Sironen T, Tonteri E, Balk-Moller NC, Iivanainen A, Niemimaa J,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et al. Life-long antibody responses and evidence for waning immunity to Puumala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 a bank vole population. J Virol. 2015;89:5765-75.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6. World Health Organization. Hantavirus cluster linked to cruise ship travel,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multi-country  -  Disease Outbreak News. Geneva: WHO; 2026 [cited 2026 May 13].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https://www.who.int/emergencies/disease-outbreak-news/item/2026-DON600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7. European Centre for Disease Prevention and Control. Hantavirus-associated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cluster of illness on a cruise ship: ECDC assessment and recommendations.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Stockholm: ECDC; 2026 [cited 2026 May 13].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https://www.ecdc.europa.eu/en/publications-data/hantavirus-associated-cluster-illness-cruise-ship-ecdc-assessment-and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8. Kasperson RE, Renn O, Slovic P, Brown HS, Emel J, Goble R, et al. The social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amplification of risk: a conceptual framework. Risk Anal. 1988;8:177-87.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9. Zeimes CB, Olsson GE, Ahlm C, Vanwambeke SO. Landscape and local climatic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effects on human Puumala hantavirus incidence  -  the role of forest spatial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pattern. PeerJ. 2014;2:e541.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10. Kallio ER, Klingstrom J, Gustafsson E, Manni T, Vaheri A, Henttonen H, et al.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Prolonged survival of Puumala hantavirus outside the host: evidence for indirect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transmission via the environment. J Gen Virol. 2006;87:2127-34.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11. Reusken C, Heyman P. Factors driving hantavirus emergence in Europe.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Curr Opin Virol. 2013;3:92-9.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12. World Bank Open Data. World development indicators [Internet]. Washington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(DC): World Bank; 2024 [cited 2026 May 13].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https://data.worldbank.org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13. Food and Agriculture Organization of the United Nations. FAOSTAT land use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[Internet]. Rome: FAO; 2024 [cited 2026 May 13].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https://www.fao.org/faostat/en/#data/RL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14. Abatzoglou JT, Dobrowski SZ, Parks SA, Hegewisch KC. TerraClimate,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high-resolution global dataset of monthly climate and climatic water balance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from 1958-2015. Sci Data. 2018;5:170191.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15. Natural Earth. Natural Earth: free vector and raster map data [Internet].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2024 [cited 2026 May 13]. https://www.naturalearthdata.com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16. Bracher J, Ray EL, Gneiting T, Reich NG. Evaluating epidemic forecasts in 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 format. PLoS Comput Biol. 2021;17:e1008618.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TABLE LEGENDS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1. Source and quality audit for the EU/EEA hantavirus incidence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benchmark, 2019-2023. ECDC = European Centre for Disease Prevention and Control;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FAOSTAT = Food and Agriculture Organization Corporate Statistical Database;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GDP = gross domestic product; NDVI = normalized difference vegetation index;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EVI = enhanced vegetation index; QA = quality assurance.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(validation) and 2023 (test)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evaluation years. WIS = weighted interval score (lower is better); Coverage =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90% empirical coverage (fraction of observed counts inside the 90% prediction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interval, reported as numerator/total); Width = mean 90% interval width in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reported cases; MAE = mean absolute error against median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prediction; Brier = Brier score for any reported case (threshold &gt;=1 case).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Bold indicates best value per column per evaluation year. NB = negative binomial.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FIGURE LEGENDS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1. Country-level reported hantavirus incidence per 100,000 population,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EU/EEA, 2023. Data source: ECDC Annual Epidemiological Report for 2023.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Map projection: ETRS89/LAEA Europe (EPSG:3035). Boundaries: Natural Earth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1:50m Admin-0. Gray indicates countries for which data were not reported 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available. Map reflects country-level annual reported surveillance totals;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within-country spatial variation is implied. Belgium 2023 and Cyprus 2023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 quality grade C (surveillance-system changes).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Figure 2. Calibration-sharpness tradeoff for 2023 one-year-ahead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probabilistic forecasts. Each point represents one model or covariate block.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x-axis: mean 90% prediction interval width (reported cases);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y-axis: mean weighted interval score (lower is better). Point shape indicates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model family: circles = simple surveillance-history baselines; squares =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baselines; triangles = covariate blocks (gradient boosting);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diamonds = penalized Poisson count models. Key labeled points are annotated.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single model achieved both low WIS and near-nominal coverage simultaneously: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last-observed country-rate baseline (lowest WIS, 42.86) undercovered observed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counts (16/28, 57%); the empirical negative-binomial baseline (best coverage,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28/28, 100%) used intervals approximately 45-fold wider.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TABLES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1. Source and quality audit for the EU/EEA hantavirus incidence benchmark, 2019-2023.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Component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Source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Years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Rows/Coverage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QA result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/>
                <w:i w:val="0"/>
                <w:sz w:val="16"/>
              </w:rPr>
              <w:t>Manuscript use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Reported cases/incidence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ECDC Annual Epidemiological Report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2019-2023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142 country-years; 28-29 countries/year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PASS  -  totals reconcile exactly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Primary outcome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Population, rurality, GDP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World Bank Open Data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2019-2023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142 rows; no missing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Covariate block: demographic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Land-use shares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FAOSTAT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2019-2023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142 rows; no missing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Covariate block: land use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Climate/water balance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TerraClimate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2018-2023 (lag-1 for 2019-2023)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142 rows current year; 114 rows lag-1 complete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Covariate block: climate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boundaries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Natural Earth (1:50m Admin-0)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28-29 countries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Maps and spatial aggregation</w:t>
            </w:r>
          </w:p>
        </w:tc>
      </w:tr>
      <w:tr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NDVI/EVI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MODIS MOD13C2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 (excluded)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FAIL  -  QA-masked aggregation not implemented</w:t>
            </w:r>
          </w:p>
        </w:tc>
        <w:tc>
          <w:tcPr>
            <w:tcW w:type="dxa" w:w="1560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Excluded; no vegetation claims</w:t>
            </w:r>
          </w:p>
        </w:tc>
      </w:tr>
    </w:tbl>
    <w:p/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Note: Belgium 2023 and Cyprus 2023 are quality grade C (surveillance-system changes); all other rows are grade B (comprehensive).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(validation) and 2023 (test) evaluation years.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Year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Model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WIS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Coverage, n/N (%)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Width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MAE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Brier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65.58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18/29 (62%)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21.07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69.79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0.025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101.5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16/29 (55%)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24.55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108.1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47.17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29/29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694.2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72.1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0.158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47.38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29/29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693.5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72.79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0.198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covariate block (all public)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74.46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22/29 (76%)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264.9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109.9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0.386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penalized Poisson (land use)*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-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52.47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15/28 (54%)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20.61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58.14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0.036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42.86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16/28 (57%)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14.61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47.11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0.061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43.75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i w:val="0"/>
                <w:sz w:val="16"/>
              </w:rPr>
              <w:t>28/28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660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65.25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0.190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43.90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28/28 (100%)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659.4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65.75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0.215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covariate block (land use)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318.5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19/28 (68%)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325.9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367.4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0.294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Best penalized Poisson (land use)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159.4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9/28 (32%)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28.82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167.6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 w:val="0"/>
                <w:i w:val="0"/>
                <w:sz w:val="16"/>
              </w:rPr>
              <w:t>0.099</w:t>
            </w:r>
          </w:p>
        </w:tc>
      </w:tr>
    </w:tbl>
    <w:p/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WIS = weighted interval score (lower is better). Width = mean 90% interval width (reported cases).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Bold indicates best value per column per evaluation year.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* Penalized Poisson 2022 results reflect validation-year WIS used for tuning only; primary evaluation is the 2023 test year.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