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87044E" w14:textId="6977E657" w:rsidR="00820242" w:rsidRPr="00820242" w:rsidRDefault="00820242" w:rsidP="00820242">
      <w:pPr>
        <w:pStyle w:val="11"/>
        <w:ind w:left="425" w:firstLine="482"/>
        <w:jc w:val="center"/>
        <w:rPr>
          <w:rFonts w:ascii="Calibri" w:hAnsi="Calibri" w:cs="Calibri"/>
          <w:sz w:val="24"/>
          <w:szCs w:val="24"/>
          <w:lang w:eastAsia="zh-CN"/>
        </w:rPr>
      </w:pPr>
      <w:r w:rsidRPr="008D22B7">
        <w:rPr>
          <w:rFonts w:ascii="Calibri" w:hAnsi="Calibri" w:cs="Calibri"/>
          <w:sz w:val="24"/>
          <w:szCs w:val="24"/>
          <w:lang w:eastAsia="zh-CN"/>
        </w:rPr>
        <w:t xml:space="preserve">Appendix </w:t>
      </w:r>
      <w:r>
        <w:rPr>
          <w:rFonts w:ascii="Calibri" w:hAnsi="Calibri" w:cs="Calibri" w:hint="eastAsia"/>
          <w:sz w:val="24"/>
          <w:szCs w:val="24"/>
          <w:lang w:eastAsia="zh-CN"/>
        </w:rPr>
        <w:t>B</w:t>
      </w:r>
      <w:r w:rsidRPr="008D22B7">
        <w:rPr>
          <w:rFonts w:ascii="Calibri" w:hAnsi="Calibri" w:cs="Calibri"/>
          <w:sz w:val="24"/>
          <w:szCs w:val="24"/>
          <w:lang w:eastAsia="zh-CN"/>
        </w:rPr>
        <w:t xml:space="preserve">. </w:t>
      </w:r>
      <w:r>
        <w:rPr>
          <w:rFonts w:ascii="Calibri" w:hAnsi="Calibri" w:cs="Calibri" w:hint="eastAsia"/>
          <w:sz w:val="24"/>
          <w:szCs w:val="24"/>
          <w:lang w:eastAsia="zh-CN"/>
        </w:rPr>
        <w:t>Evolutionary game analysis of IDI incentive effects</w:t>
      </w:r>
    </w:p>
    <w:p w14:paraId="5D836065" w14:textId="043FC4BB" w:rsidR="008365BF" w:rsidRPr="008365BF" w:rsidRDefault="008365BF" w:rsidP="008365BF">
      <w:pPr>
        <w:ind w:firstLine="440"/>
        <w:rPr>
          <w:rFonts w:eastAsia="等线"/>
        </w:rPr>
      </w:pPr>
      <w:r w:rsidRPr="008365BF">
        <w:rPr>
          <w:rFonts w:eastAsia="等线"/>
        </w:rPr>
        <w:t xml:space="preserve">This analysis examines quality choice in a contractor population under two specified governance regimes, traditional management </w:t>
      </w:r>
      <w:r>
        <w:rPr>
          <w:rFonts w:eastAsia="等线" w:hint="eastAsia"/>
        </w:rPr>
        <w:t>(</w:t>
      </w:r>
      <w:r w:rsidRPr="008365BF">
        <w:rPr>
          <w:rFonts w:eastAsia="等线"/>
        </w:rPr>
        <w:t>T</w:t>
      </w:r>
      <w:r>
        <w:rPr>
          <w:rFonts w:eastAsia="等线" w:hint="eastAsia"/>
        </w:rPr>
        <w:t>)</w:t>
      </w:r>
      <w:r w:rsidRPr="008365BF">
        <w:rPr>
          <w:rFonts w:eastAsia="等线"/>
        </w:rPr>
        <w:t xml:space="preserve"> and blockchain governance </w:t>
      </w:r>
      <w:r>
        <w:rPr>
          <w:rFonts w:eastAsia="等线" w:hint="eastAsia"/>
        </w:rPr>
        <w:t>(</w:t>
      </w:r>
      <w:r w:rsidRPr="008365BF">
        <w:rPr>
          <w:rFonts w:eastAsia="等线"/>
        </w:rPr>
        <w:t>B</w:t>
      </w:r>
      <w:r>
        <w:rPr>
          <w:rFonts w:eastAsia="等线" w:hint="eastAsia"/>
        </w:rPr>
        <w:t>)</w:t>
      </w:r>
      <w:r w:rsidRPr="008365BF">
        <w:rPr>
          <w:rFonts w:eastAsia="等线"/>
        </w:rPr>
        <w:t xml:space="preserve">. The owner is the IDI policyholder and pays the base premium P. The insurer determines premium adjustments and claim settlement. The analysis holds the governance regime fixed and models the contractor's choice between high quality </w:t>
      </w:r>
      <w:r>
        <w:rPr>
          <w:rFonts w:eastAsia="等线" w:hint="eastAsia"/>
        </w:rPr>
        <w:t>(</w:t>
      </w:r>
      <w:r w:rsidRPr="008365BF">
        <w:rPr>
          <w:rFonts w:eastAsia="等线"/>
        </w:rPr>
        <w:t>H</w:t>
      </w:r>
      <w:r>
        <w:rPr>
          <w:rFonts w:eastAsia="等线" w:hint="eastAsia"/>
        </w:rPr>
        <w:t>)</w:t>
      </w:r>
      <w:r w:rsidRPr="008365BF">
        <w:rPr>
          <w:rFonts w:eastAsia="等线"/>
        </w:rPr>
        <w:t xml:space="preserve"> and low quality </w:t>
      </w:r>
      <w:r>
        <w:rPr>
          <w:rFonts w:eastAsia="等线" w:hint="eastAsia"/>
        </w:rPr>
        <w:t>(</w:t>
      </w:r>
      <w:r w:rsidRPr="008365BF">
        <w:rPr>
          <w:rFonts w:eastAsia="等线"/>
        </w:rPr>
        <w:t>L</w:t>
      </w:r>
      <w:r>
        <w:rPr>
          <w:rFonts w:eastAsia="等线" w:hint="eastAsia"/>
        </w:rPr>
        <w:t>)</w:t>
      </w:r>
      <w:r w:rsidRPr="008365BF">
        <w:rPr>
          <w:rFonts w:eastAsia="等线"/>
        </w:rPr>
        <w:t>.</w:t>
      </w:r>
    </w:p>
    <w:p w14:paraId="5FB9BAF7" w14:textId="3FF39670" w:rsidR="008365BF" w:rsidRPr="008365BF" w:rsidRDefault="008365BF" w:rsidP="008365BF">
      <w:pPr>
        <w:ind w:firstLine="440"/>
        <w:rPr>
          <w:rFonts w:eastAsia="等线"/>
        </w:rPr>
      </w:pPr>
      <w:r w:rsidRPr="008365BF">
        <w:rPr>
          <w:rFonts w:eastAsia="等线"/>
        </w:rPr>
        <w:t>R denotes contractor revenue before quality-dependent costs and transfers.</w:t>
      </w:r>
      <m:oMath>
        <m:r>
          <w:rPr>
            <w:rFonts w:ascii="Cambria Math" w:eastAsia="等线" w:hAnsi="Cambria Math"/>
          </w:rPr>
          <m:t xml:space="preserve"> </m:t>
        </m:r>
        <m:sSub>
          <m:sSubPr>
            <m:ctrlPr>
              <w:rPr>
                <w:rFonts w:ascii="Cambria Math" w:eastAsia="等线" w:hAnsi="Cambria Math"/>
                <w:i/>
              </w:rPr>
            </m:ctrlPr>
          </m:sSubPr>
          <m:e>
            <m:r>
              <w:rPr>
                <w:rFonts w:ascii="Cambria Math" w:eastAsia="等线" w:hAnsi="Cambria Math"/>
              </w:rPr>
              <m:t>C</m:t>
            </m:r>
          </m:e>
          <m:sub>
            <m:r>
              <w:rPr>
                <w:rFonts w:ascii="Cambria Math" w:eastAsia="等线" w:hAnsi="Cambria Math"/>
              </w:rPr>
              <m:t>H</m:t>
            </m:r>
          </m:sub>
        </m:sSub>
      </m:oMath>
      <w:r w:rsidRPr="008365BF">
        <w:rPr>
          <w:rFonts w:eastAsia="等线"/>
        </w:rPr>
        <w:t xml:space="preserve"> and </w:t>
      </w:r>
      <m:oMath>
        <m:sSub>
          <m:sSubPr>
            <m:ctrlPr>
              <w:rPr>
                <w:rFonts w:ascii="Cambria Math" w:eastAsia="等线" w:hAnsi="Cambria Math"/>
                <w:i/>
              </w:rPr>
            </m:ctrlPr>
          </m:sSubPr>
          <m:e>
            <m:r>
              <w:rPr>
                <w:rFonts w:ascii="Cambria Math" w:eastAsia="等线" w:hAnsi="Cambria Math"/>
              </w:rPr>
              <m:t>C</m:t>
            </m:r>
          </m:e>
          <m:sub>
            <m:r>
              <w:rPr>
                <w:rFonts w:ascii="Cambria Math" w:eastAsia="等线" w:hAnsi="Cambria Math"/>
              </w:rPr>
              <m:t>L</m:t>
            </m:r>
          </m:sub>
        </m:sSub>
      </m:oMath>
      <w:r>
        <w:rPr>
          <w:rFonts w:eastAsia="等线" w:hint="eastAsia"/>
        </w:rPr>
        <w:t xml:space="preserve"> </w:t>
      </w:r>
      <w:r w:rsidRPr="008365BF">
        <w:rPr>
          <w:rFonts w:eastAsia="等线"/>
        </w:rPr>
        <w:t xml:space="preserve"> are the costs of the two strategies, with </w:t>
      </w:r>
      <m:oMath>
        <m:sSub>
          <m:sSubPr>
            <m:ctrlPr>
              <w:rPr>
                <w:rFonts w:ascii="Cambria Math" w:eastAsia="等线" w:hAnsi="Cambria Math"/>
                <w:i/>
              </w:rPr>
            </m:ctrlPr>
          </m:sSubPr>
          <m:e>
            <m:r>
              <w:rPr>
                <w:rFonts w:ascii="Cambria Math" w:eastAsia="等线" w:hAnsi="Cambria Math"/>
              </w:rPr>
              <m:t>C</m:t>
            </m:r>
          </m:e>
          <m:sub>
            <m:r>
              <w:rPr>
                <w:rFonts w:ascii="Cambria Math" w:eastAsia="等线" w:hAnsi="Cambria Math"/>
              </w:rPr>
              <m:t>H</m:t>
            </m:r>
          </m:sub>
        </m:sSub>
        <m:r>
          <w:rPr>
            <w:rFonts w:ascii="Cambria Math" w:eastAsia="等线" w:hAnsi="Cambria Math"/>
          </w:rPr>
          <m:t>&gt;</m:t>
        </m:r>
        <m:sSub>
          <m:sSubPr>
            <m:ctrlPr>
              <w:rPr>
                <w:rFonts w:ascii="Cambria Math" w:eastAsia="等线" w:hAnsi="Cambria Math"/>
                <w:i/>
              </w:rPr>
            </m:ctrlPr>
          </m:sSubPr>
          <m:e>
            <m:r>
              <w:rPr>
                <w:rFonts w:ascii="Cambria Math" w:eastAsia="等线" w:hAnsi="Cambria Math"/>
              </w:rPr>
              <m:t>C</m:t>
            </m:r>
          </m:e>
          <m:sub>
            <m:r>
              <w:rPr>
                <w:rFonts w:ascii="Cambria Math" w:eastAsia="等线" w:hAnsi="Cambria Math"/>
              </w:rPr>
              <m:t>L</m:t>
            </m:r>
          </m:sub>
        </m:sSub>
      </m:oMath>
      <w:r w:rsidRPr="008365BF">
        <w:rPr>
          <w:rFonts w:eastAsia="等线"/>
        </w:rPr>
        <w:t xml:space="preserve">. F is a separate penalty incurred when low-quality work is detected, with detection probability </w:t>
      </w:r>
      <m:oMath>
        <m:r>
          <w:rPr>
            <w:rFonts w:ascii="Cambria Math" w:eastAsia="等线" w:hAnsi="Cambria Math"/>
          </w:rPr>
          <m:t>α</m:t>
        </m:r>
      </m:oMath>
      <w:r w:rsidRPr="008365BF">
        <w:rPr>
          <w:rFonts w:eastAsia="等线"/>
        </w:rPr>
        <w:t xml:space="preserve"> under T and </w:t>
      </w:r>
      <m:oMath>
        <m:r>
          <w:rPr>
            <w:rFonts w:ascii="Cambria Math" w:eastAsia="等线" w:hAnsi="Cambria Math"/>
          </w:rPr>
          <m:t>β</m:t>
        </m:r>
      </m:oMath>
      <w:r w:rsidRPr="008365BF">
        <w:rPr>
          <w:rFonts w:eastAsia="等线"/>
        </w:rPr>
        <w:t xml:space="preserve"> under B. D and M are the expected owner-level premium discount under H and surcharge under L, respectively, attributable to the modeled contractor's performance. Both adjustments incorporate the probability that verified evidence leads to their application and use a common evaluation period and monetary basis. </w:t>
      </w:r>
      <m:oMath>
        <m:r>
          <w:rPr>
            <w:rFonts w:ascii="Cambria Math" w:eastAsia="等线" w:hAnsi="Cambria Math"/>
          </w:rPr>
          <m:t>θ</m:t>
        </m:r>
        <m:r>
          <w:rPr>
            <w:rFonts w:ascii="Cambria Math" w:eastAsia="等线" w:hAnsi="Cambria Math" w:hint="eastAsia"/>
          </w:rPr>
          <m:t>∈</m:t>
        </m:r>
        <m:r>
          <w:rPr>
            <w:rFonts w:ascii="Cambria Math" w:eastAsia="等线" w:hAnsi="Cambria Math"/>
          </w:rPr>
          <m:t>[0, 1]</m:t>
        </m:r>
      </m:oMath>
      <w:r w:rsidRPr="008365BF">
        <w:rPr>
          <w:rFonts w:eastAsia="等线"/>
        </w:rPr>
        <w:t xml:space="preserve"> is the contractual share of each adjustment transmitted to the contractor. The simplified specification assumes equal transmission rates for discounts and surcharges.</w:t>
      </w:r>
    </w:p>
    <w:p w14:paraId="7FA933C0" w14:textId="164262B3" w:rsidR="00820242" w:rsidRPr="00820242" w:rsidRDefault="008365BF" w:rsidP="008365BF">
      <w:pPr>
        <w:ind w:firstLine="440"/>
        <w:rPr>
          <w:rFonts w:eastAsia="等线"/>
        </w:rPr>
      </w:pPr>
      <w:r w:rsidRPr="008365BF">
        <w:rPr>
          <w:rFonts w:eastAsia="等线"/>
        </w:rPr>
        <w:t xml:space="preserve">Under H, the owner receives the expected premium benefit D and transfers </w:t>
      </w:r>
      <m:oMath>
        <m:r>
          <w:rPr>
            <w:rFonts w:ascii="Cambria Math" w:eastAsia="等线" w:hAnsi="Cambria Math"/>
          </w:rPr>
          <m:t>θ</m:t>
        </m:r>
      </m:oMath>
      <w:r w:rsidRPr="008365BF">
        <w:rPr>
          <w:rFonts w:eastAsia="等线"/>
        </w:rPr>
        <w:t xml:space="preserve">D to the contractor. Under L, the owner incurs the expected surcharge M and recovers </w:t>
      </w:r>
      <m:oMath>
        <m:r>
          <w:rPr>
            <w:rFonts w:ascii="Cambria Math" w:eastAsia="等线" w:hAnsi="Cambria Math"/>
          </w:rPr>
          <m:t>θ</m:t>
        </m:r>
      </m:oMath>
      <w:r w:rsidRPr="008365BF">
        <w:rPr>
          <w:rFonts w:eastAsia="等线"/>
        </w:rPr>
        <w:t>M from the contractor under the agreed provision. The owner retains the remaining share of each premium effect. The base premium and insurance claim payments belong to the owner–insurer cash-flow relationship and are excluded from contractor payoffs. Premium-linked transfers redistribute financial consequences and do not themselves create consolidated resource savings.</w:t>
      </w:r>
      <w:r w:rsidR="00820242" w:rsidRPr="00820242">
        <w:rPr>
          <w:rFonts w:eastAsia="等线"/>
        </w:rPr>
        <w:t>.</w:t>
      </w:r>
    </w:p>
    <w:p w14:paraId="19335246" w14:textId="65333C0D" w:rsidR="00820242" w:rsidRPr="00820242" w:rsidRDefault="00820242" w:rsidP="00820242">
      <w:pPr>
        <w:snapToGrid w:val="0"/>
        <w:ind w:firstLine="400"/>
        <w:jc w:val="center"/>
        <w:rPr>
          <w:rFonts w:ascii="Calibri" w:eastAsia="黑体" w:hAnsi="Calibri" w:cs="Times New Roman"/>
          <w:kern w:val="0"/>
          <w:sz w:val="20"/>
          <w:szCs w:val="20"/>
          <w14:ligatures w14:val="none"/>
        </w:rPr>
      </w:pPr>
      <w:bookmarkStart w:id="0" w:name="_Ref218613651"/>
      <w:r w:rsidRPr="00820242">
        <w:rPr>
          <w:rFonts w:ascii="Calibri" w:eastAsia="黑体" w:hAnsi="Calibri" w:cs="Times New Roman"/>
          <w:kern w:val="0"/>
          <w:sz w:val="20"/>
          <w:szCs w:val="20"/>
          <w:lang w:eastAsia="en-US"/>
          <w14:ligatures w14:val="none"/>
        </w:rPr>
        <w:t xml:space="preserve">Table </w:t>
      </w:r>
      <w:bookmarkEnd w:id="0"/>
      <w:r w:rsidR="00725776">
        <w:rPr>
          <w:rFonts w:ascii="Calibri" w:eastAsia="黑体" w:hAnsi="Calibri" w:cs="Times New Roman" w:hint="eastAsia"/>
          <w:kern w:val="0"/>
          <w:sz w:val="20"/>
          <w:szCs w:val="20"/>
          <w14:ligatures w14:val="none"/>
        </w:rPr>
        <w:t>B1</w:t>
      </w:r>
      <w:r w:rsidRPr="00820242">
        <w:rPr>
          <w:rFonts w:ascii="Calibri" w:eastAsia="黑体" w:hAnsi="Calibri" w:cs="Times New Roman" w:hint="eastAsia"/>
          <w:kern w:val="0"/>
          <w:sz w:val="20"/>
          <w:szCs w:val="20"/>
          <w14:ligatures w14:val="none"/>
        </w:rPr>
        <w:t xml:space="preserve"> </w:t>
      </w:r>
      <w:r w:rsidRPr="00820242">
        <w:rPr>
          <w:rFonts w:ascii="Calibri" w:eastAsia="等线" w:hAnsi="Calibri" w:cs="Times New Roman" w:hint="eastAsia"/>
          <w:kern w:val="0"/>
          <w:sz w:val="20"/>
          <w:szCs w:val="20"/>
          <w:lang w:eastAsia="en-US"/>
          <w14:ligatures w14:val="none"/>
        </w:rPr>
        <w:t>Definition of parameters</w:t>
      </w:r>
    </w:p>
    <w:tbl>
      <w:tblPr>
        <w:tblStyle w:val="21"/>
        <w:tblW w:w="0" w:type="auto"/>
        <w:jc w:val="center"/>
        <w:tblBorders>
          <w:insideH w:val="outset" w:sz="6" w:space="0" w:color="auto"/>
          <w:insideV w:val="outset" w:sz="6" w:space="0" w:color="auto"/>
        </w:tblBorders>
        <w:tblLook w:val="04A0" w:firstRow="1" w:lastRow="0" w:firstColumn="1" w:lastColumn="0" w:noHBand="0" w:noVBand="1"/>
      </w:tblPr>
      <w:tblGrid>
        <w:gridCol w:w="1205"/>
        <w:gridCol w:w="7101"/>
      </w:tblGrid>
      <w:tr w:rsidR="00820242" w:rsidRPr="00820242" w14:paraId="0C1F6E8C" w14:textId="77777777" w:rsidTr="00014C75">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Borders>
              <w:top w:val="single" w:sz="12" w:space="0" w:color="000000"/>
              <w:left w:val="nil"/>
              <w:bottom w:val="single" w:sz="4" w:space="0" w:color="000000"/>
              <w:right w:val="nil"/>
            </w:tcBorders>
            <w:shd w:val="clear" w:color="auto" w:fill="FFFFFF"/>
          </w:tcPr>
          <w:p w14:paraId="60E81547" w14:textId="77777777" w:rsidR="00820242" w:rsidRPr="00EB0F42" w:rsidRDefault="00820242" w:rsidP="00EB0F42">
            <w:pPr>
              <w:pStyle w:val="af5"/>
            </w:pPr>
            <w:bookmarkStart w:id="1" w:name="OLE_LINK7"/>
            <w:r w:rsidRPr="00EB0F42">
              <w:rPr>
                <w:rFonts w:hint="eastAsia"/>
              </w:rPr>
              <w:t>Parameters</w:t>
            </w:r>
          </w:p>
        </w:tc>
        <w:tc>
          <w:tcPr>
            <w:tcW w:w="0" w:type="auto"/>
            <w:tcBorders>
              <w:top w:val="single" w:sz="12" w:space="0" w:color="000000"/>
              <w:left w:val="nil"/>
              <w:bottom w:val="single" w:sz="4" w:space="0" w:color="000000"/>
              <w:right w:val="nil"/>
            </w:tcBorders>
            <w:shd w:val="clear" w:color="auto" w:fill="FFFFFF"/>
          </w:tcPr>
          <w:p w14:paraId="42853A6E" w14:textId="77777777" w:rsidR="00820242" w:rsidRPr="00EB0F42" w:rsidRDefault="00820242" w:rsidP="00EB0F42">
            <w:pPr>
              <w:pStyle w:val="af5"/>
              <w:cnfStyle w:val="100000000000" w:firstRow="1" w:lastRow="0" w:firstColumn="0" w:lastColumn="0" w:oddVBand="0" w:evenVBand="0" w:oddHBand="0" w:evenHBand="0" w:firstRowFirstColumn="0" w:firstRowLastColumn="0" w:lastRowFirstColumn="0" w:lastRowLastColumn="0"/>
            </w:pPr>
            <w:r w:rsidRPr="00EB0F42">
              <w:rPr>
                <w:rFonts w:hint="eastAsia"/>
              </w:rPr>
              <w:t>Meanings</w:t>
            </w:r>
          </w:p>
        </w:tc>
      </w:tr>
      <w:tr w:rsidR="00820242" w:rsidRPr="00820242" w14:paraId="6EAD9CDA" w14:textId="77777777" w:rsidTr="00014C75">
        <w:trPr>
          <w:jc w:val="center"/>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000000"/>
              <w:left w:val="nil"/>
              <w:bottom w:val="nil"/>
              <w:right w:val="nil"/>
            </w:tcBorders>
            <w:shd w:val="clear" w:color="auto" w:fill="FFFFFF"/>
          </w:tcPr>
          <w:p w14:paraId="2CE0A982" w14:textId="77777777" w:rsidR="00820242" w:rsidRPr="0010107C" w:rsidRDefault="00820242" w:rsidP="00EB0F42">
            <w:pPr>
              <w:pStyle w:val="af5"/>
              <w:rPr>
                <w:b w:val="0"/>
                <w:bCs w:val="0"/>
              </w:rPr>
            </w:pPr>
            <w:r w:rsidRPr="0010107C">
              <w:rPr>
                <w:rFonts w:hint="eastAsia"/>
                <w:b w:val="0"/>
                <w:bCs w:val="0"/>
              </w:rPr>
              <w:lastRenderedPageBreak/>
              <w:t>R</w:t>
            </w:r>
          </w:p>
        </w:tc>
        <w:tc>
          <w:tcPr>
            <w:tcW w:w="0" w:type="auto"/>
            <w:tcBorders>
              <w:top w:val="single" w:sz="4" w:space="0" w:color="000000"/>
              <w:left w:val="nil"/>
              <w:bottom w:val="nil"/>
              <w:right w:val="nil"/>
            </w:tcBorders>
            <w:shd w:val="clear" w:color="auto" w:fill="FFFFFF"/>
          </w:tcPr>
          <w:p w14:paraId="41D39FFE" w14:textId="77777777" w:rsidR="00820242" w:rsidRPr="00EB0F42" w:rsidRDefault="00820242" w:rsidP="00EB0F42">
            <w:pPr>
              <w:pStyle w:val="af5"/>
              <w:cnfStyle w:val="000000000000" w:firstRow="0" w:lastRow="0" w:firstColumn="0" w:lastColumn="0" w:oddVBand="0" w:evenVBand="0" w:oddHBand="0" w:evenHBand="0" w:firstRowFirstColumn="0" w:firstRowLastColumn="0" w:lastRowFirstColumn="0" w:lastRowLastColumn="0"/>
            </w:pPr>
            <w:r w:rsidRPr="00EB0F42">
              <w:rPr>
                <w:rFonts w:hint="eastAsia"/>
              </w:rPr>
              <w:t xml:space="preserve">Normal revenue of Contractors </w:t>
            </w:r>
          </w:p>
        </w:tc>
      </w:tr>
      <w:tr w:rsidR="00820242" w:rsidRPr="00820242" w14:paraId="6E0A2909" w14:textId="77777777" w:rsidTr="00014C75">
        <w:trPr>
          <w:jc w:val="center"/>
        </w:trPr>
        <w:tc>
          <w:tcPr>
            <w:cnfStyle w:val="001000000000" w:firstRow="0" w:lastRow="0" w:firstColumn="1" w:lastColumn="0" w:oddVBand="0" w:evenVBand="0" w:oddHBand="0" w:evenHBand="0" w:firstRowFirstColumn="0" w:firstRowLastColumn="0" w:lastRowFirstColumn="0" w:lastRowLastColumn="0"/>
            <w:tcW w:w="0" w:type="auto"/>
            <w:tcBorders>
              <w:top w:val="nil"/>
              <w:left w:val="nil"/>
              <w:bottom w:val="nil"/>
              <w:right w:val="nil"/>
            </w:tcBorders>
            <w:shd w:val="clear" w:color="auto" w:fill="FFFFFF"/>
          </w:tcPr>
          <w:p w14:paraId="15673F46" w14:textId="3FCBA013" w:rsidR="00820242" w:rsidRPr="0010107C" w:rsidRDefault="0010107C" w:rsidP="00EB0F42">
            <w:pPr>
              <w:pStyle w:val="af5"/>
              <w:rPr>
                <w:rFonts w:eastAsiaTheme="minorEastAsia" w:hint="eastAsia"/>
                <w:b w:val="0"/>
                <w:bCs w:val="0"/>
                <w:i/>
              </w:rPr>
            </w:pPr>
            <m:oMathPara>
              <m:oMathParaPr>
                <m:jc m:val="left"/>
              </m:oMathParaPr>
              <m:oMath>
                <m:sSub>
                  <m:sSubPr>
                    <m:ctrlPr>
                      <w:rPr>
                        <w:rFonts w:ascii="Cambria Math" w:hAnsi="Cambria Math"/>
                        <w:b w:val="0"/>
                        <w:bCs w:val="0"/>
                        <w:i/>
                      </w:rPr>
                    </m:ctrlPr>
                  </m:sSubPr>
                  <m:e>
                    <m:r>
                      <w:rPr>
                        <w:rFonts w:ascii="Cambria Math" w:hAnsi="Cambria Math" w:hint="eastAsia"/>
                      </w:rPr>
                      <m:t>C</m:t>
                    </m:r>
                    <m:ctrlPr>
                      <w:rPr>
                        <w:rFonts w:ascii="Cambria Math" w:hAnsi="Cambria Math" w:hint="eastAsia"/>
                        <w:b w:val="0"/>
                        <w:bCs w:val="0"/>
                        <w:i/>
                      </w:rPr>
                    </m:ctrlPr>
                  </m:e>
                  <m:sub>
                    <m:r>
                      <w:rPr>
                        <w:rFonts w:ascii="Cambria Math" w:hAnsi="Cambria Math" w:hint="eastAsia"/>
                      </w:rPr>
                      <m:t>H</m:t>
                    </m:r>
                  </m:sub>
                </m:sSub>
                <m:r>
                  <w:rPr>
                    <w:rFonts w:ascii="Cambria Math" w:hAnsi="Cambria Math" w:hint="eastAsia"/>
                  </w:rPr>
                  <m:t xml:space="preserve">, </m:t>
                </m:r>
                <m:sSub>
                  <m:sSubPr>
                    <m:ctrlPr>
                      <w:rPr>
                        <w:rFonts w:ascii="Cambria Math" w:hAnsi="Cambria Math"/>
                        <w:b w:val="0"/>
                        <w:bCs w:val="0"/>
                        <w:i/>
                      </w:rPr>
                    </m:ctrlPr>
                  </m:sSubPr>
                  <m:e>
                    <m:r>
                      <w:rPr>
                        <w:rFonts w:ascii="Cambria Math" w:hAnsi="Cambria Math" w:hint="eastAsia"/>
                      </w:rPr>
                      <m:t>C</m:t>
                    </m:r>
                  </m:e>
                  <m:sub>
                    <m:r>
                      <w:rPr>
                        <w:rFonts w:ascii="Cambria Math" w:hAnsi="Cambria Math" w:hint="eastAsia"/>
                      </w:rPr>
                      <m:t>L</m:t>
                    </m:r>
                  </m:sub>
                </m:sSub>
              </m:oMath>
            </m:oMathPara>
          </w:p>
        </w:tc>
        <w:tc>
          <w:tcPr>
            <w:tcW w:w="0" w:type="auto"/>
            <w:tcBorders>
              <w:top w:val="nil"/>
              <w:left w:val="nil"/>
              <w:bottom w:val="nil"/>
              <w:right w:val="nil"/>
            </w:tcBorders>
            <w:shd w:val="clear" w:color="auto" w:fill="FFFFFF"/>
          </w:tcPr>
          <w:p w14:paraId="34F31F72" w14:textId="79C08289" w:rsidR="00820242" w:rsidRPr="00EB0F42" w:rsidRDefault="00820242" w:rsidP="00EB0F42">
            <w:pPr>
              <w:pStyle w:val="af5"/>
              <w:cnfStyle w:val="000000000000" w:firstRow="0" w:lastRow="0" w:firstColumn="0" w:lastColumn="0" w:oddVBand="0" w:evenVBand="0" w:oddHBand="0" w:evenHBand="0" w:firstRowFirstColumn="0" w:firstRowLastColumn="0" w:lastRowFirstColumn="0" w:lastRowLastColumn="0"/>
            </w:pPr>
            <w:r w:rsidRPr="00EB0F42">
              <w:rPr>
                <w:rFonts w:hint="eastAsia"/>
              </w:rPr>
              <w:t>Cost of high/low quality (</w:t>
            </w:r>
            <m:oMath>
              <m:sSub>
                <m:sSubPr>
                  <m:ctrlPr>
                    <w:rPr>
                      <w:rFonts w:ascii="Cambria Math" w:hAnsi="Cambria Math"/>
                      <w:i/>
                    </w:rPr>
                  </m:ctrlPr>
                </m:sSubPr>
                <m:e>
                  <m:r>
                    <w:rPr>
                      <w:rFonts w:ascii="Cambria Math" w:hAnsi="Cambria Math"/>
                    </w:rPr>
                    <m:t>C</m:t>
                  </m:r>
                </m:e>
                <m:sub>
                  <m:r>
                    <w:rPr>
                      <w:rFonts w:ascii="Cambria Math" w:hAnsi="Cambria Math"/>
                    </w:rPr>
                    <m:t>H</m:t>
                  </m:r>
                </m:sub>
              </m:sSub>
              <m:r>
                <w:rPr>
                  <w:rFonts w:ascii="Cambria Math" w:hAnsi="Cambria Math" w:hint="eastAsia"/>
                </w:rPr>
                <m:t>&gt;</m:t>
              </m:r>
              <m:sSub>
                <m:sSubPr>
                  <m:ctrlPr>
                    <w:rPr>
                      <w:rFonts w:ascii="Cambria Math" w:hAnsi="Cambria Math"/>
                      <w:i/>
                    </w:rPr>
                  </m:ctrlPr>
                </m:sSubPr>
                <m:e>
                  <m:r>
                    <w:rPr>
                      <w:rFonts w:ascii="Cambria Math" w:hAnsi="Cambria Math"/>
                    </w:rPr>
                    <m:t>C</m:t>
                  </m:r>
                </m:e>
                <m:sub>
                  <m:r>
                    <w:rPr>
                      <w:rFonts w:ascii="Cambria Math" w:hAnsi="Cambria Math"/>
                    </w:rPr>
                    <m:t>L</m:t>
                  </m:r>
                </m:sub>
              </m:sSub>
            </m:oMath>
            <w:r w:rsidRPr="00EB0F42">
              <w:rPr>
                <w:rFonts w:hint="eastAsia"/>
              </w:rPr>
              <w:t>)</w:t>
            </w:r>
          </w:p>
        </w:tc>
      </w:tr>
      <w:tr w:rsidR="00820242" w:rsidRPr="00820242" w14:paraId="558E55CD" w14:textId="77777777" w:rsidTr="00014C75">
        <w:trPr>
          <w:jc w:val="center"/>
        </w:trPr>
        <w:tc>
          <w:tcPr>
            <w:cnfStyle w:val="001000000000" w:firstRow="0" w:lastRow="0" w:firstColumn="1" w:lastColumn="0" w:oddVBand="0" w:evenVBand="0" w:oddHBand="0" w:evenHBand="0" w:firstRowFirstColumn="0" w:firstRowLastColumn="0" w:lastRowFirstColumn="0" w:lastRowLastColumn="0"/>
            <w:tcW w:w="0" w:type="auto"/>
            <w:tcBorders>
              <w:top w:val="nil"/>
              <w:left w:val="nil"/>
              <w:bottom w:val="nil"/>
              <w:right w:val="nil"/>
            </w:tcBorders>
            <w:shd w:val="clear" w:color="auto" w:fill="FFFFFF"/>
          </w:tcPr>
          <w:p w14:paraId="16D52932" w14:textId="77777777" w:rsidR="00820242" w:rsidRPr="0010107C" w:rsidRDefault="00820242" w:rsidP="00EB0F42">
            <w:pPr>
              <w:pStyle w:val="af5"/>
              <w:rPr>
                <w:b w:val="0"/>
                <w:bCs w:val="0"/>
              </w:rPr>
            </w:pPr>
            <w:r w:rsidRPr="0010107C">
              <w:rPr>
                <w:rFonts w:hint="eastAsia"/>
                <w:b w:val="0"/>
                <w:bCs w:val="0"/>
              </w:rPr>
              <w:t>P</w:t>
            </w:r>
          </w:p>
        </w:tc>
        <w:tc>
          <w:tcPr>
            <w:tcW w:w="0" w:type="auto"/>
            <w:tcBorders>
              <w:top w:val="nil"/>
              <w:left w:val="nil"/>
              <w:bottom w:val="nil"/>
              <w:right w:val="nil"/>
            </w:tcBorders>
            <w:shd w:val="clear" w:color="auto" w:fill="FFFFFF"/>
          </w:tcPr>
          <w:p w14:paraId="0A9A1E70" w14:textId="77777777" w:rsidR="00820242" w:rsidRPr="00EB0F42" w:rsidRDefault="00820242" w:rsidP="00EB0F42">
            <w:pPr>
              <w:pStyle w:val="af5"/>
              <w:cnfStyle w:val="000000000000" w:firstRow="0" w:lastRow="0" w:firstColumn="0" w:lastColumn="0" w:oddVBand="0" w:evenVBand="0" w:oddHBand="0" w:evenHBand="0" w:firstRowFirstColumn="0" w:firstRowLastColumn="0" w:lastRowFirstColumn="0" w:lastRowLastColumn="0"/>
            </w:pPr>
            <w:r w:rsidRPr="00EB0F42">
              <w:t>B</w:t>
            </w:r>
            <w:r w:rsidRPr="00EB0F42">
              <w:rPr>
                <w:rFonts w:hint="eastAsia"/>
              </w:rPr>
              <w:t>ase insurance premium</w:t>
            </w:r>
          </w:p>
        </w:tc>
      </w:tr>
      <w:tr w:rsidR="00820242" w:rsidRPr="00820242" w14:paraId="7F1444F6" w14:textId="77777777" w:rsidTr="00014C75">
        <w:trPr>
          <w:jc w:val="center"/>
        </w:trPr>
        <w:tc>
          <w:tcPr>
            <w:cnfStyle w:val="001000000000" w:firstRow="0" w:lastRow="0" w:firstColumn="1" w:lastColumn="0" w:oddVBand="0" w:evenVBand="0" w:oddHBand="0" w:evenHBand="0" w:firstRowFirstColumn="0" w:firstRowLastColumn="0" w:lastRowFirstColumn="0" w:lastRowLastColumn="0"/>
            <w:tcW w:w="0" w:type="auto"/>
            <w:tcBorders>
              <w:top w:val="nil"/>
              <w:left w:val="nil"/>
              <w:bottom w:val="nil"/>
              <w:right w:val="nil"/>
            </w:tcBorders>
            <w:shd w:val="clear" w:color="auto" w:fill="FFFFFF"/>
          </w:tcPr>
          <w:p w14:paraId="507E6C45" w14:textId="77777777" w:rsidR="00820242" w:rsidRPr="0010107C" w:rsidRDefault="00820242" w:rsidP="00EB0F42">
            <w:pPr>
              <w:pStyle w:val="af5"/>
              <w:rPr>
                <w:b w:val="0"/>
                <w:bCs w:val="0"/>
                <w:i/>
                <w:iCs/>
              </w:rPr>
            </w:pPr>
            <w:r w:rsidRPr="0010107C">
              <w:rPr>
                <w:b w:val="0"/>
                <w:bCs w:val="0"/>
                <w:i/>
                <w:iCs/>
              </w:rPr>
              <w:t>α</w:t>
            </w:r>
            <w:r w:rsidRPr="0010107C">
              <w:rPr>
                <w:rFonts w:hint="eastAsia"/>
                <w:b w:val="0"/>
                <w:bCs w:val="0"/>
                <w:i/>
                <w:iCs/>
              </w:rPr>
              <w:t xml:space="preserve">, </w:t>
            </w:r>
            <w:r w:rsidRPr="0010107C">
              <w:rPr>
                <w:b w:val="0"/>
                <w:bCs w:val="0"/>
                <w:i/>
                <w:iCs/>
              </w:rPr>
              <w:t>β</w:t>
            </w:r>
          </w:p>
        </w:tc>
        <w:tc>
          <w:tcPr>
            <w:tcW w:w="0" w:type="auto"/>
            <w:tcBorders>
              <w:top w:val="nil"/>
              <w:left w:val="nil"/>
              <w:bottom w:val="nil"/>
              <w:right w:val="nil"/>
            </w:tcBorders>
            <w:shd w:val="clear" w:color="auto" w:fill="FFFFFF"/>
          </w:tcPr>
          <w:p w14:paraId="1D0C61E5" w14:textId="77777777" w:rsidR="00820242" w:rsidRPr="00EB0F42" w:rsidRDefault="00820242" w:rsidP="00EB0F42">
            <w:pPr>
              <w:pStyle w:val="af5"/>
              <w:cnfStyle w:val="000000000000" w:firstRow="0" w:lastRow="0" w:firstColumn="0" w:lastColumn="0" w:oddVBand="0" w:evenVBand="0" w:oddHBand="0" w:evenHBand="0" w:firstRowFirstColumn="0" w:firstRowLastColumn="0" w:lastRowFirstColumn="0" w:lastRowLastColumn="0"/>
            </w:pPr>
            <w:r w:rsidRPr="00EB0F42">
              <w:rPr>
                <w:rFonts w:hint="eastAsia"/>
              </w:rPr>
              <w:t>Probability of detecting defects in traditional management (</w:t>
            </w:r>
            <w:r w:rsidRPr="00EB0F42">
              <w:t>α</w:t>
            </w:r>
            <w:r w:rsidRPr="00EB0F42">
              <w:rPr>
                <w:rFonts w:hint="eastAsia"/>
              </w:rPr>
              <w:t xml:space="preserve">) and </w:t>
            </w:r>
            <w:r w:rsidRPr="00EB0F42">
              <w:t>blockchain</w:t>
            </w:r>
            <w:r w:rsidRPr="00EB0F42">
              <w:rPr>
                <w:rFonts w:hint="eastAsia"/>
              </w:rPr>
              <w:t xml:space="preserve"> governance (</w:t>
            </w:r>
            <w:r w:rsidRPr="00EB0F42">
              <w:t>β</w:t>
            </w:r>
            <w:r w:rsidRPr="00EB0F42">
              <w:rPr>
                <w:rFonts w:hint="eastAsia"/>
              </w:rPr>
              <w:t xml:space="preserve">), where </w:t>
            </w:r>
            <w:r w:rsidRPr="00EB0F42">
              <w:t>β</w:t>
            </w:r>
            <w:r w:rsidRPr="00EB0F42">
              <w:rPr>
                <w:rFonts w:hint="eastAsia"/>
              </w:rPr>
              <w:t xml:space="preserve"> &gt; </w:t>
            </w:r>
            <w:r w:rsidRPr="00EB0F42">
              <w:t>α</w:t>
            </w:r>
            <w:r w:rsidRPr="00EB0F42">
              <w:rPr>
                <w:rFonts w:hint="eastAsia"/>
              </w:rPr>
              <w:t xml:space="preserve"> due to oracle monitoring</w:t>
            </w:r>
          </w:p>
        </w:tc>
      </w:tr>
      <w:tr w:rsidR="00820242" w:rsidRPr="00820242" w14:paraId="59F4A49A" w14:textId="77777777" w:rsidTr="00014C75">
        <w:trPr>
          <w:jc w:val="center"/>
        </w:trPr>
        <w:tc>
          <w:tcPr>
            <w:cnfStyle w:val="001000000000" w:firstRow="0" w:lastRow="0" w:firstColumn="1" w:lastColumn="0" w:oddVBand="0" w:evenVBand="0" w:oddHBand="0" w:evenHBand="0" w:firstRowFirstColumn="0" w:firstRowLastColumn="0" w:lastRowFirstColumn="0" w:lastRowLastColumn="0"/>
            <w:tcW w:w="0" w:type="auto"/>
            <w:tcBorders>
              <w:top w:val="nil"/>
              <w:left w:val="nil"/>
              <w:bottom w:val="nil"/>
              <w:right w:val="nil"/>
            </w:tcBorders>
            <w:shd w:val="clear" w:color="auto" w:fill="FFFFFF"/>
          </w:tcPr>
          <w:p w14:paraId="47A6891A" w14:textId="77777777" w:rsidR="00820242" w:rsidRPr="0010107C" w:rsidRDefault="00820242" w:rsidP="00EB0F42">
            <w:pPr>
              <w:pStyle w:val="af5"/>
              <w:rPr>
                <w:b w:val="0"/>
                <w:bCs w:val="0"/>
              </w:rPr>
            </w:pPr>
            <w:bookmarkStart w:id="2" w:name="_Hlk218610882"/>
            <w:r w:rsidRPr="0010107C">
              <w:rPr>
                <w:rFonts w:hint="eastAsia"/>
                <w:b w:val="0"/>
                <w:bCs w:val="0"/>
              </w:rPr>
              <w:t>F</w:t>
            </w:r>
          </w:p>
        </w:tc>
        <w:tc>
          <w:tcPr>
            <w:tcW w:w="0" w:type="auto"/>
            <w:tcBorders>
              <w:top w:val="nil"/>
              <w:left w:val="nil"/>
              <w:bottom w:val="nil"/>
              <w:right w:val="nil"/>
            </w:tcBorders>
            <w:shd w:val="clear" w:color="auto" w:fill="FFFFFF"/>
          </w:tcPr>
          <w:p w14:paraId="5AE68E79" w14:textId="77777777" w:rsidR="00820242" w:rsidRPr="00EB0F42" w:rsidRDefault="00820242" w:rsidP="00EB0F42">
            <w:pPr>
              <w:pStyle w:val="af5"/>
              <w:cnfStyle w:val="000000000000" w:firstRow="0" w:lastRow="0" w:firstColumn="0" w:lastColumn="0" w:oddVBand="0" w:evenVBand="0" w:oddHBand="0" w:evenHBand="0" w:firstRowFirstColumn="0" w:firstRowLastColumn="0" w:lastRowFirstColumn="0" w:lastRowLastColumn="0"/>
            </w:pPr>
            <w:r w:rsidRPr="00EB0F42">
              <w:rPr>
                <w:rFonts w:hint="eastAsia"/>
              </w:rPr>
              <w:t xml:space="preserve">Fines for </w:t>
            </w:r>
            <w:r w:rsidRPr="00EB0F42">
              <w:t>detecting</w:t>
            </w:r>
            <w:r w:rsidRPr="00EB0F42">
              <w:rPr>
                <w:rFonts w:hint="eastAsia"/>
              </w:rPr>
              <w:t xml:space="preserve"> defects</w:t>
            </w:r>
          </w:p>
        </w:tc>
      </w:tr>
      <w:tr w:rsidR="00820242" w:rsidRPr="008A2B70" w14:paraId="20D2177B" w14:textId="77777777" w:rsidTr="0010107C">
        <w:trPr>
          <w:jc w:val="center"/>
        </w:trPr>
        <w:tc>
          <w:tcPr>
            <w:cnfStyle w:val="001000000000" w:firstRow="0" w:lastRow="0" w:firstColumn="1" w:lastColumn="0" w:oddVBand="0" w:evenVBand="0" w:oddHBand="0" w:evenHBand="0" w:firstRowFirstColumn="0" w:firstRowLastColumn="0" w:lastRowFirstColumn="0" w:lastRowLastColumn="0"/>
            <w:tcW w:w="0" w:type="auto"/>
            <w:tcBorders>
              <w:top w:val="nil"/>
              <w:left w:val="nil"/>
              <w:bottom w:val="nil"/>
              <w:right w:val="nil"/>
            </w:tcBorders>
            <w:shd w:val="clear" w:color="auto" w:fill="FFFFFF"/>
          </w:tcPr>
          <w:p w14:paraId="195B9053" w14:textId="77777777" w:rsidR="00820242" w:rsidRPr="0010107C" w:rsidRDefault="00820242" w:rsidP="00EB0F42">
            <w:pPr>
              <w:pStyle w:val="af5"/>
              <w:rPr>
                <w:b w:val="0"/>
                <w:bCs w:val="0"/>
              </w:rPr>
            </w:pPr>
            <w:r w:rsidRPr="0010107C">
              <w:rPr>
                <w:rFonts w:hint="eastAsia"/>
                <w:b w:val="0"/>
                <w:bCs w:val="0"/>
              </w:rPr>
              <w:t>M, D</w:t>
            </w:r>
          </w:p>
        </w:tc>
        <w:tc>
          <w:tcPr>
            <w:tcW w:w="0" w:type="auto"/>
            <w:tcBorders>
              <w:top w:val="nil"/>
              <w:left w:val="nil"/>
              <w:bottom w:val="nil"/>
              <w:right w:val="nil"/>
            </w:tcBorders>
            <w:shd w:val="clear" w:color="auto" w:fill="FFFFFF"/>
          </w:tcPr>
          <w:p w14:paraId="68BC749A" w14:textId="77777777" w:rsidR="00820242" w:rsidRPr="00EB0F42" w:rsidRDefault="00820242" w:rsidP="00EB0F42">
            <w:pPr>
              <w:pStyle w:val="af5"/>
              <w:cnfStyle w:val="000000000000" w:firstRow="0" w:lastRow="0" w:firstColumn="0" w:lastColumn="0" w:oddVBand="0" w:evenVBand="0" w:oddHBand="0" w:evenHBand="0" w:firstRowFirstColumn="0" w:firstRowLastColumn="0" w:lastRowFirstColumn="0" w:lastRowLastColumn="0"/>
            </w:pPr>
            <w:r w:rsidRPr="00EB0F42">
              <w:rPr>
                <w:rFonts w:hint="eastAsia"/>
              </w:rPr>
              <w:t>Premium malus (M) and discount (D) induced by the dynamic IDI mechanism</w:t>
            </w:r>
          </w:p>
        </w:tc>
      </w:tr>
      <w:tr w:rsidR="0010107C" w:rsidRPr="008A2B70" w14:paraId="26734A9C" w14:textId="77777777" w:rsidTr="0010107C">
        <w:trPr>
          <w:jc w:val="center"/>
        </w:trPr>
        <w:tc>
          <w:tcPr>
            <w:cnfStyle w:val="001000000000" w:firstRow="0" w:lastRow="0" w:firstColumn="1" w:lastColumn="0" w:oddVBand="0" w:evenVBand="0" w:oddHBand="0" w:evenHBand="0" w:firstRowFirstColumn="0" w:firstRowLastColumn="0" w:lastRowFirstColumn="0" w:lastRowLastColumn="0"/>
            <w:tcW w:w="0" w:type="auto"/>
            <w:tcBorders>
              <w:top w:val="nil"/>
              <w:left w:val="nil"/>
              <w:bottom w:val="nil"/>
              <w:right w:val="nil"/>
            </w:tcBorders>
            <w:shd w:val="clear" w:color="auto" w:fill="FFFFFF"/>
          </w:tcPr>
          <w:p w14:paraId="41D06AE7" w14:textId="134B01B3" w:rsidR="0010107C" w:rsidRPr="0010107C" w:rsidRDefault="0010107C" w:rsidP="00EB0F42">
            <w:pPr>
              <w:pStyle w:val="af5"/>
              <w:rPr>
                <w:rFonts w:hint="eastAsia"/>
              </w:rPr>
            </w:pPr>
            <m:oMathPara>
              <m:oMathParaPr>
                <m:jc m:val="left"/>
              </m:oMathParaPr>
              <m:oMath>
                <m:r>
                  <m:rPr>
                    <m:sty m:val="bi"/>
                  </m:rPr>
                  <w:rPr>
                    <w:rFonts w:ascii="Cambria Math" w:eastAsia="等线" w:hAnsi="Cambria Math"/>
                  </w:rPr>
                  <m:t>θ</m:t>
                </m:r>
              </m:oMath>
            </m:oMathPara>
          </w:p>
        </w:tc>
        <w:tc>
          <w:tcPr>
            <w:tcW w:w="0" w:type="auto"/>
            <w:tcBorders>
              <w:top w:val="nil"/>
              <w:left w:val="nil"/>
              <w:bottom w:val="nil"/>
              <w:right w:val="nil"/>
            </w:tcBorders>
            <w:shd w:val="clear" w:color="auto" w:fill="FFFFFF"/>
          </w:tcPr>
          <w:p w14:paraId="73A1EFA4" w14:textId="022BD63D" w:rsidR="0010107C" w:rsidRPr="00EB0F42" w:rsidRDefault="0010107C" w:rsidP="00EB0F42">
            <w:pPr>
              <w:pStyle w:val="af5"/>
              <w:cnfStyle w:val="000000000000" w:firstRow="0" w:lastRow="0" w:firstColumn="0" w:lastColumn="0" w:oddVBand="0" w:evenVBand="0" w:oddHBand="0" w:evenHBand="0" w:firstRowFirstColumn="0" w:firstRowLastColumn="0" w:lastRowFirstColumn="0" w:lastRowLastColumn="0"/>
              <w:rPr>
                <w:rFonts w:hint="eastAsia"/>
              </w:rPr>
            </w:pPr>
            <w:r w:rsidRPr="0010107C">
              <w:t xml:space="preserve">Contractual share of D or M transmitted to the contractor, 0 </w:t>
            </w:r>
            <w:r w:rsidRPr="0010107C">
              <w:rPr>
                <w:rFonts w:hint="eastAsia"/>
              </w:rPr>
              <w:t>≤</w:t>
            </w:r>
            <w:r w:rsidRPr="0010107C">
              <w:rPr>
                <w:i/>
                <w:iCs/>
              </w:rPr>
              <w:t xml:space="preserve"> θ</w:t>
            </w:r>
            <w:r w:rsidRPr="0010107C">
              <w:t xml:space="preserve"> </w:t>
            </w:r>
            <w:r w:rsidRPr="0010107C">
              <w:rPr>
                <w:rFonts w:hint="eastAsia"/>
              </w:rPr>
              <w:t>≤</w:t>
            </w:r>
            <w:r w:rsidRPr="0010107C">
              <w:t xml:space="preserve"> 1</w:t>
            </w:r>
          </w:p>
        </w:tc>
      </w:tr>
      <w:tr w:rsidR="0010107C" w:rsidRPr="008A2B70" w14:paraId="0A0B8EB6" w14:textId="77777777" w:rsidTr="00014C75">
        <w:trPr>
          <w:jc w:val="center"/>
        </w:trPr>
        <w:tc>
          <w:tcPr>
            <w:cnfStyle w:val="001000000000" w:firstRow="0" w:lastRow="0" w:firstColumn="1" w:lastColumn="0" w:oddVBand="0" w:evenVBand="0" w:oddHBand="0" w:evenHBand="0" w:firstRowFirstColumn="0" w:firstRowLastColumn="0" w:lastRowFirstColumn="0" w:lastRowLastColumn="0"/>
            <w:tcW w:w="0" w:type="auto"/>
            <w:tcBorders>
              <w:top w:val="nil"/>
              <w:left w:val="nil"/>
              <w:bottom w:val="single" w:sz="12" w:space="0" w:color="auto"/>
              <w:right w:val="nil"/>
            </w:tcBorders>
            <w:shd w:val="clear" w:color="auto" w:fill="FFFFFF"/>
          </w:tcPr>
          <w:p w14:paraId="6BC31B28" w14:textId="68B763C9" w:rsidR="0010107C" w:rsidRPr="0010107C" w:rsidRDefault="0010107C" w:rsidP="00EB0F42">
            <w:pPr>
              <w:pStyle w:val="af5"/>
              <w:rPr>
                <w:rFonts w:eastAsiaTheme="minorEastAsia" w:hint="eastAsia"/>
                <w:b w:val="0"/>
                <w:bCs w:val="0"/>
                <w:i/>
                <w:iCs/>
              </w:rPr>
            </w:pPr>
            <w:r w:rsidRPr="0010107C">
              <w:rPr>
                <w:rFonts w:eastAsiaTheme="minorEastAsia" w:hint="eastAsia"/>
                <w:b w:val="0"/>
                <w:bCs w:val="0"/>
                <w:i/>
                <w:iCs/>
              </w:rPr>
              <w:t>x</w:t>
            </w:r>
          </w:p>
        </w:tc>
        <w:tc>
          <w:tcPr>
            <w:tcW w:w="0" w:type="auto"/>
            <w:tcBorders>
              <w:top w:val="nil"/>
              <w:left w:val="nil"/>
              <w:bottom w:val="single" w:sz="12" w:space="0" w:color="auto"/>
              <w:right w:val="nil"/>
            </w:tcBorders>
            <w:shd w:val="clear" w:color="auto" w:fill="FFFFFF"/>
          </w:tcPr>
          <w:p w14:paraId="36F5AD71" w14:textId="143F00C7" w:rsidR="0010107C" w:rsidRPr="00EB0F42" w:rsidRDefault="0010107C" w:rsidP="00EB0F42">
            <w:pPr>
              <w:pStyle w:val="af5"/>
              <w:cnfStyle w:val="000000000000" w:firstRow="0" w:lastRow="0" w:firstColumn="0" w:lastColumn="0" w:oddVBand="0" w:evenVBand="0" w:oddHBand="0" w:evenHBand="0" w:firstRowFirstColumn="0" w:firstRowLastColumn="0" w:lastRowFirstColumn="0" w:lastRowLastColumn="0"/>
              <w:rPr>
                <w:rFonts w:hint="eastAsia"/>
              </w:rPr>
            </w:pPr>
            <w:r w:rsidRPr="0010107C">
              <w:t>Proportion of contractors choosing H</w:t>
            </w:r>
          </w:p>
        </w:tc>
      </w:tr>
    </w:tbl>
    <w:bookmarkEnd w:id="1"/>
    <w:bookmarkEnd w:id="2"/>
    <w:p w14:paraId="606E10D0" w14:textId="4F1FDA56" w:rsidR="008A2B70" w:rsidRPr="008A2B70" w:rsidRDefault="008A2B70" w:rsidP="005D725B">
      <w:pPr>
        <w:spacing w:line="360" w:lineRule="auto"/>
        <w:ind w:firstLineChars="0" w:firstLine="0"/>
        <w:rPr>
          <w:rFonts w:cs="Times New Roman"/>
          <w:kern w:val="0"/>
          <w:sz w:val="18"/>
          <w:szCs w:val="22"/>
          <w14:ligatures w14:val="none"/>
        </w:rPr>
      </w:pPr>
      <w:r w:rsidRPr="008A2B70">
        <w:rPr>
          <w:rFonts w:cs="Times New Roman" w:hint="eastAsia"/>
          <w:kern w:val="0"/>
          <w:sz w:val="18"/>
          <w:szCs w:val="22"/>
          <w14:ligatures w14:val="none"/>
        </w:rPr>
        <w:t xml:space="preserve">Note: Numerical </w:t>
      </w:r>
      <w:r w:rsidRPr="008A2B70">
        <w:rPr>
          <w:rFonts w:cs="Times New Roman"/>
          <w:kern w:val="0"/>
          <w:sz w:val="18"/>
          <w:szCs w:val="22"/>
          <w14:ligatures w14:val="none"/>
        </w:rPr>
        <w:t>calibration</w:t>
      </w:r>
      <w:r w:rsidRPr="008A2B70">
        <w:rPr>
          <w:rFonts w:cs="Times New Roman" w:hint="eastAsia"/>
          <w:kern w:val="0"/>
          <w:sz w:val="18"/>
          <w:szCs w:val="22"/>
          <w14:ligatures w14:val="none"/>
        </w:rPr>
        <w:t xml:space="preserve"> of </w:t>
      </w:r>
      <m:oMath>
        <m:r>
          <w:rPr>
            <w:rFonts w:ascii="Cambria Math" w:hAnsi="Cambria Math" w:cs="Times New Roman"/>
            <w:kern w:val="0"/>
            <w:sz w:val="18"/>
            <w:szCs w:val="22"/>
            <w14:ligatures w14:val="none"/>
          </w:rPr>
          <m:t>α</m:t>
        </m:r>
        <m:r>
          <m:rPr>
            <m:sty m:val="p"/>
          </m:rPr>
          <w:rPr>
            <w:rFonts w:ascii="Cambria Math" w:hAnsi="Cambria Math" w:cs="Times New Roman"/>
            <w:kern w:val="0"/>
            <w:sz w:val="18"/>
            <w:szCs w:val="22"/>
            <w14:ligatures w14:val="none"/>
          </w:rPr>
          <m:t>(≈0.21)</m:t>
        </m:r>
      </m:oMath>
      <w:r w:rsidRPr="008A2B70">
        <w:rPr>
          <w:rFonts w:cs="Times New Roman" w:hint="eastAsia"/>
          <w:kern w:val="0"/>
          <w:sz w:val="18"/>
          <w:szCs w:val="22"/>
          <w14:ligatures w14:val="none"/>
        </w:rPr>
        <w:t xml:space="preserve">, </w:t>
      </w:r>
      <m:oMath>
        <m:r>
          <w:rPr>
            <w:rFonts w:ascii="Cambria Math" w:hAnsi="Cambria Math" w:cs="Times New Roman"/>
            <w:kern w:val="0"/>
            <w:sz w:val="18"/>
            <w:szCs w:val="22"/>
            <w14:ligatures w14:val="none"/>
          </w:rPr>
          <m:t>β</m:t>
        </m:r>
        <m:d>
          <m:dPr>
            <m:ctrlPr>
              <w:rPr>
                <w:rFonts w:ascii="Cambria Math" w:hAnsi="Cambria Math" w:cs="Times New Roman"/>
                <w:kern w:val="0"/>
                <w:sz w:val="18"/>
                <w:szCs w:val="22"/>
                <w14:ligatures w14:val="none"/>
              </w:rPr>
            </m:ctrlPr>
          </m:dPr>
          <m:e>
            <m:r>
              <m:rPr>
                <m:sty m:val="p"/>
              </m:rPr>
              <w:rPr>
                <w:rFonts w:ascii="Cambria Math" w:hAnsi="Cambria Math" w:cs="Times New Roman"/>
                <w:kern w:val="0"/>
                <w:sz w:val="18"/>
                <w:szCs w:val="22"/>
                <w14:ligatures w14:val="none"/>
              </w:rPr>
              <m:t>=0.80</m:t>
            </m:r>
          </m:e>
        </m:d>
      </m:oMath>
      <w:r w:rsidRPr="008A2B70">
        <w:rPr>
          <w:rFonts w:cs="Times New Roman" w:hint="eastAsia"/>
          <w:kern w:val="0"/>
          <w:sz w:val="18"/>
          <w:szCs w:val="22"/>
          <w14:ligatures w14:val="none"/>
        </w:rPr>
        <w:t xml:space="preserve">, and cost parameter is provided in Table </w:t>
      </w:r>
      <w:r w:rsidR="00973356">
        <w:rPr>
          <w:rFonts w:eastAsiaTheme="minorEastAsia" w:cs="Times New Roman" w:hint="eastAsia"/>
          <w:kern w:val="0"/>
          <w:sz w:val="18"/>
          <w:szCs w:val="22"/>
          <w14:ligatures w14:val="none"/>
        </w:rPr>
        <w:t>6</w:t>
      </w:r>
      <w:r w:rsidRPr="008A2B70">
        <w:rPr>
          <w:rFonts w:cs="Times New Roman" w:hint="eastAsia"/>
          <w:kern w:val="0"/>
          <w:sz w:val="18"/>
          <w:szCs w:val="22"/>
          <w14:ligatures w14:val="none"/>
        </w:rPr>
        <w:t xml:space="preserve"> (Section 6.2)</w:t>
      </w:r>
    </w:p>
    <w:p w14:paraId="4DAAD8F7" w14:textId="77777777" w:rsidR="0010107C" w:rsidRDefault="0010107C" w:rsidP="0010107C">
      <w:pPr>
        <w:snapToGrid w:val="0"/>
        <w:ind w:firstLine="440"/>
        <w:rPr>
          <w:rFonts w:eastAsia="等线"/>
        </w:rPr>
      </w:pPr>
      <w:bookmarkStart w:id="3" w:name="_Ref218613781"/>
      <w:r w:rsidRPr="0010107C">
        <w:rPr>
          <w:rFonts w:eastAsia="等线"/>
        </w:rPr>
        <w:t>D and M incorporate the probability that supporting evidence produces a premium adjustment. If a surcharge is instead specified as an amount conditional on detection, its expected payoff contribution must also include that detection probability. Contract-specific values of θ, D, and M are not estimated in this study.</w:t>
      </w:r>
    </w:p>
    <w:p w14:paraId="4CB01348" w14:textId="582CE71B" w:rsidR="00725776" w:rsidRPr="00820242" w:rsidRDefault="00725776" w:rsidP="0010107C">
      <w:pPr>
        <w:snapToGrid w:val="0"/>
        <w:ind w:firstLineChars="0" w:firstLine="0"/>
        <w:jc w:val="center"/>
        <w:rPr>
          <w:rFonts w:ascii="Calibri" w:eastAsia="等线" w:hAnsi="Calibri" w:cs="Times New Roman"/>
          <w:kern w:val="0"/>
          <w:sz w:val="20"/>
          <w:szCs w:val="20"/>
          <w:lang w:eastAsia="en-US"/>
          <w14:ligatures w14:val="none"/>
        </w:rPr>
      </w:pPr>
      <w:r w:rsidRPr="00820242">
        <w:rPr>
          <w:rFonts w:ascii="Calibri" w:eastAsia="黑体" w:hAnsi="Calibri" w:cs="Times New Roman"/>
          <w:kern w:val="0"/>
          <w:sz w:val="20"/>
          <w:szCs w:val="20"/>
          <w:lang w:eastAsia="en-US"/>
          <w14:ligatures w14:val="none"/>
        </w:rPr>
        <w:t xml:space="preserve">Table </w:t>
      </w:r>
      <w:bookmarkEnd w:id="3"/>
      <w:r>
        <w:rPr>
          <w:rFonts w:ascii="Calibri" w:eastAsia="黑体" w:hAnsi="Calibri" w:cs="Times New Roman" w:hint="eastAsia"/>
          <w:kern w:val="0"/>
          <w:sz w:val="20"/>
          <w:szCs w:val="20"/>
          <w14:ligatures w14:val="none"/>
        </w:rPr>
        <w:t>B2</w:t>
      </w:r>
      <w:r w:rsidRPr="00820242">
        <w:rPr>
          <w:rFonts w:ascii="Calibri" w:eastAsia="黑体" w:hAnsi="Calibri" w:cs="Times New Roman" w:hint="eastAsia"/>
          <w:kern w:val="0"/>
          <w:sz w:val="20"/>
          <w:szCs w:val="20"/>
          <w14:ligatures w14:val="none"/>
        </w:rPr>
        <w:t xml:space="preserve"> </w:t>
      </w:r>
      <w:r w:rsidRPr="00820242">
        <w:rPr>
          <w:rFonts w:ascii="Calibri" w:eastAsia="等线" w:hAnsi="Calibri" w:cs="Times New Roman" w:hint="eastAsia"/>
          <w:kern w:val="0"/>
          <w:sz w:val="20"/>
          <w:szCs w:val="20"/>
          <w:lang w:eastAsia="en-US"/>
          <w14:ligatures w14:val="none"/>
        </w:rPr>
        <w:t>Payoff matrix</w:t>
      </w:r>
    </w:p>
    <w:tbl>
      <w:tblPr>
        <w:tblStyle w:val="21"/>
        <w:tblW w:w="0" w:type="auto"/>
        <w:jc w:val="center"/>
        <w:tblBorders>
          <w:insideH w:val="outset" w:sz="6" w:space="0" w:color="auto"/>
          <w:insideV w:val="outset" w:sz="6" w:space="0" w:color="auto"/>
        </w:tblBorders>
        <w:tblLook w:val="04A0" w:firstRow="1" w:lastRow="0" w:firstColumn="1" w:lastColumn="0" w:noHBand="0" w:noVBand="1"/>
      </w:tblPr>
      <w:tblGrid>
        <w:gridCol w:w="1250"/>
        <w:gridCol w:w="1550"/>
        <w:gridCol w:w="2482"/>
        <w:gridCol w:w="2416"/>
      </w:tblGrid>
      <w:tr w:rsidR="00725776" w:rsidRPr="00820242" w14:paraId="6A6483C2" w14:textId="77777777" w:rsidTr="0010107C">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50" w:type="dxa"/>
            <w:tcBorders>
              <w:top w:val="single" w:sz="12" w:space="0" w:color="000000"/>
              <w:left w:val="nil"/>
              <w:bottom w:val="single" w:sz="4" w:space="0" w:color="000000"/>
              <w:right w:val="nil"/>
              <w:tl2br w:val="nil"/>
            </w:tcBorders>
            <w:shd w:val="clear" w:color="auto" w:fill="FFFFFF"/>
          </w:tcPr>
          <w:p w14:paraId="19E0A021" w14:textId="77777777" w:rsidR="00725776" w:rsidRPr="00820242" w:rsidRDefault="00725776" w:rsidP="005D725B">
            <w:pPr>
              <w:pStyle w:val="af5"/>
            </w:pPr>
          </w:p>
        </w:tc>
        <w:tc>
          <w:tcPr>
            <w:tcW w:w="1550" w:type="dxa"/>
            <w:tcBorders>
              <w:top w:val="single" w:sz="12" w:space="0" w:color="000000"/>
              <w:left w:val="nil"/>
              <w:bottom w:val="single" w:sz="4" w:space="0" w:color="000000"/>
              <w:right w:val="nil"/>
            </w:tcBorders>
            <w:shd w:val="clear" w:color="auto" w:fill="FFFFFF"/>
          </w:tcPr>
          <w:p w14:paraId="596BC5D6" w14:textId="77777777" w:rsidR="00725776" w:rsidRPr="00820242" w:rsidRDefault="00725776" w:rsidP="005D725B">
            <w:pPr>
              <w:pStyle w:val="af5"/>
              <w:cnfStyle w:val="100000000000" w:firstRow="1" w:lastRow="0" w:firstColumn="0" w:lastColumn="0" w:oddVBand="0" w:evenVBand="0" w:oddHBand="0" w:evenHBand="0" w:firstRowFirstColumn="0" w:firstRowLastColumn="0" w:lastRowFirstColumn="0" w:lastRowLastColumn="0"/>
            </w:pPr>
          </w:p>
        </w:tc>
        <w:tc>
          <w:tcPr>
            <w:tcW w:w="0" w:type="auto"/>
            <w:gridSpan w:val="2"/>
            <w:tcBorders>
              <w:top w:val="single" w:sz="12" w:space="0" w:color="000000"/>
              <w:left w:val="nil"/>
              <w:bottom w:val="single" w:sz="4" w:space="0" w:color="000000"/>
              <w:right w:val="nil"/>
            </w:tcBorders>
            <w:shd w:val="clear" w:color="auto" w:fill="FFFFFF"/>
          </w:tcPr>
          <w:p w14:paraId="16919742" w14:textId="77777777" w:rsidR="00725776" w:rsidRPr="00820242" w:rsidRDefault="00725776" w:rsidP="005D725B">
            <w:pPr>
              <w:pStyle w:val="af5"/>
              <w:cnfStyle w:val="100000000000" w:firstRow="1" w:lastRow="0" w:firstColumn="0" w:lastColumn="0" w:oddVBand="0" w:evenVBand="0" w:oddHBand="0" w:evenHBand="0" w:firstRowFirstColumn="0" w:firstRowLastColumn="0" w:lastRowFirstColumn="0" w:lastRowLastColumn="0"/>
            </w:pPr>
            <w:r w:rsidRPr="00820242">
              <w:rPr>
                <w:rFonts w:hint="eastAsia"/>
              </w:rPr>
              <w:t>Owners/Insurers</w:t>
            </w:r>
          </w:p>
        </w:tc>
      </w:tr>
      <w:tr w:rsidR="00725776" w:rsidRPr="00820242" w14:paraId="338579C9" w14:textId="77777777" w:rsidTr="0010107C">
        <w:trPr>
          <w:jc w:val="center"/>
        </w:trPr>
        <w:tc>
          <w:tcPr>
            <w:cnfStyle w:val="001000000000" w:firstRow="0" w:lastRow="0" w:firstColumn="1" w:lastColumn="0" w:oddVBand="0" w:evenVBand="0" w:oddHBand="0" w:evenHBand="0" w:firstRowFirstColumn="0" w:firstRowLastColumn="0" w:lastRowFirstColumn="0" w:lastRowLastColumn="0"/>
            <w:tcW w:w="1250" w:type="dxa"/>
            <w:tcBorders>
              <w:top w:val="single" w:sz="4" w:space="0" w:color="000000"/>
              <w:left w:val="nil"/>
              <w:bottom w:val="nil"/>
              <w:right w:val="nil"/>
            </w:tcBorders>
            <w:shd w:val="clear" w:color="auto" w:fill="FFFFFF"/>
          </w:tcPr>
          <w:p w14:paraId="2D1F9FF1" w14:textId="77777777" w:rsidR="00725776" w:rsidRPr="00820242" w:rsidRDefault="00725776" w:rsidP="005D725B">
            <w:pPr>
              <w:pStyle w:val="af5"/>
            </w:pPr>
          </w:p>
        </w:tc>
        <w:tc>
          <w:tcPr>
            <w:tcW w:w="1550" w:type="dxa"/>
            <w:tcBorders>
              <w:top w:val="single" w:sz="4" w:space="0" w:color="000000"/>
              <w:left w:val="nil"/>
              <w:bottom w:val="nil"/>
              <w:right w:val="nil"/>
            </w:tcBorders>
            <w:shd w:val="clear" w:color="auto" w:fill="FFFFFF"/>
          </w:tcPr>
          <w:p w14:paraId="31479AB2" w14:textId="77777777" w:rsidR="00725776" w:rsidRPr="00820242" w:rsidRDefault="00725776" w:rsidP="005D725B">
            <w:pPr>
              <w:pStyle w:val="af5"/>
              <w:cnfStyle w:val="000000000000" w:firstRow="0" w:lastRow="0" w:firstColumn="0" w:lastColumn="0" w:oddVBand="0" w:evenVBand="0" w:oddHBand="0" w:evenHBand="0" w:firstRowFirstColumn="0" w:firstRowLastColumn="0" w:lastRowFirstColumn="0" w:lastRowLastColumn="0"/>
            </w:pPr>
          </w:p>
        </w:tc>
        <w:tc>
          <w:tcPr>
            <w:tcW w:w="0" w:type="auto"/>
            <w:tcBorders>
              <w:top w:val="single" w:sz="4" w:space="0" w:color="000000"/>
              <w:left w:val="nil"/>
              <w:bottom w:val="nil"/>
              <w:right w:val="nil"/>
            </w:tcBorders>
            <w:shd w:val="clear" w:color="auto" w:fill="FFFFFF"/>
          </w:tcPr>
          <w:p w14:paraId="230676B5" w14:textId="77777777" w:rsidR="00725776" w:rsidRPr="00820242" w:rsidRDefault="00725776" w:rsidP="005D725B">
            <w:pPr>
              <w:pStyle w:val="af5"/>
              <w:cnfStyle w:val="000000000000" w:firstRow="0" w:lastRow="0" w:firstColumn="0" w:lastColumn="0" w:oddVBand="0" w:evenVBand="0" w:oddHBand="0" w:evenHBand="0" w:firstRowFirstColumn="0" w:firstRowLastColumn="0" w:lastRowFirstColumn="0" w:lastRowLastColumn="0"/>
            </w:pPr>
            <w:r w:rsidRPr="00820242">
              <w:rPr>
                <w:rFonts w:hint="eastAsia"/>
              </w:rPr>
              <w:t>Traditional management (T)</w:t>
            </w:r>
          </w:p>
        </w:tc>
        <w:tc>
          <w:tcPr>
            <w:tcW w:w="0" w:type="auto"/>
            <w:tcBorders>
              <w:top w:val="single" w:sz="4" w:space="0" w:color="000000"/>
              <w:left w:val="nil"/>
              <w:bottom w:val="nil"/>
              <w:right w:val="nil"/>
            </w:tcBorders>
            <w:shd w:val="clear" w:color="auto" w:fill="FFFFFF"/>
          </w:tcPr>
          <w:p w14:paraId="4A04C1A3" w14:textId="77777777" w:rsidR="00725776" w:rsidRPr="00820242" w:rsidRDefault="00725776" w:rsidP="005D725B">
            <w:pPr>
              <w:pStyle w:val="af5"/>
              <w:cnfStyle w:val="000000000000" w:firstRow="0" w:lastRow="0" w:firstColumn="0" w:lastColumn="0" w:oddVBand="0" w:evenVBand="0" w:oddHBand="0" w:evenHBand="0" w:firstRowFirstColumn="0" w:firstRowLastColumn="0" w:lastRowFirstColumn="0" w:lastRowLastColumn="0"/>
            </w:pPr>
            <w:r w:rsidRPr="00820242">
              <w:rPr>
                <w:rFonts w:hint="eastAsia"/>
              </w:rPr>
              <w:t xml:space="preserve">Blockchain </w:t>
            </w:r>
            <w:r w:rsidRPr="00820242">
              <w:t>governance</w:t>
            </w:r>
            <w:r w:rsidRPr="00820242">
              <w:rPr>
                <w:rFonts w:hint="eastAsia"/>
              </w:rPr>
              <w:t xml:space="preserve"> (B)</w:t>
            </w:r>
          </w:p>
        </w:tc>
      </w:tr>
      <w:tr w:rsidR="00725776" w:rsidRPr="00820242" w14:paraId="18AFA8D6" w14:textId="77777777" w:rsidTr="0010107C">
        <w:trPr>
          <w:jc w:val="center"/>
        </w:trPr>
        <w:tc>
          <w:tcPr>
            <w:cnfStyle w:val="001000000000" w:firstRow="0" w:lastRow="0" w:firstColumn="1" w:lastColumn="0" w:oddVBand="0" w:evenVBand="0" w:oddHBand="0" w:evenHBand="0" w:firstRowFirstColumn="0" w:firstRowLastColumn="0" w:lastRowFirstColumn="0" w:lastRowLastColumn="0"/>
            <w:tcW w:w="1250" w:type="dxa"/>
            <w:vMerge w:val="restart"/>
            <w:tcBorders>
              <w:top w:val="nil"/>
              <w:left w:val="nil"/>
              <w:bottom w:val="nil"/>
              <w:right w:val="nil"/>
            </w:tcBorders>
            <w:shd w:val="clear" w:color="auto" w:fill="FFFFFF"/>
            <w:vAlign w:val="center"/>
          </w:tcPr>
          <w:p w14:paraId="229DD941" w14:textId="77777777" w:rsidR="00725776" w:rsidRPr="00820242" w:rsidRDefault="00725776" w:rsidP="005D725B">
            <w:pPr>
              <w:pStyle w:val="af5"/>
            </w:pPr>
            <w:r w:rsidRPr="00820242">
              <w:rPr>
                <w:rFonts w:hint="eastAsia"/>
              </w:rPr>
              <w:t>Contractors</w:t>
            </w:r>
          </w:p>
        </w:tc>
        <w:tc>
          <w:tcPr>
            <w:tcW w:w="1550" w:type="dxa"/>
            <w:tcBorders>
              <w:top w:val="nil"/>
              <w:left w:val="nil"/>
              <w:bottom w:val="nil"/>
              <w:right w:val="nil"/>
            </w:tcBorders>
            <w:shd w:val="clear" w:color="auto" w:fill="FFFFFF"/>
          </w:tcPr>
          <w:p w14:paraId="1CA46629" w14:textId="77777777" w:rsidR="00725776" w:rsidRPr="00820242" w:rsidRDefault="00725776" w:rsidP="005D725B">
            <w:pPr>
              <w:pStyle w:val="af5"/>
              <w:cnfStyle w:val="000000000000" w:firstRow="0" w:lastRow="0" w:firstColumn="0" w:lastColumn="0" w:oddVBand="0" w:evenVBand="0" w:oddHBand="0" w:evenHBand="0" w:firstRowFirstColumn="0" w:firstRowLastColumn="0" w:lastRowFirstColumn="0" w:lastRowLastColumn="0"/>
            </w:pPr>
            <w:r w:rsidRPr="00820242">
              <w:rPr>
                <w:rFonts w:hint="eastAsia"/>
              </w:rPr>
              <w:t>Low quality (L)</w:t>
            </w:r>
          </w:p>
        </w:tc>
        <w:tc>
          <w:tcPr>
            <w:tcW w:w="0" w:type="auto"/>
            <w:tcBorders>
              <w:top w:val="nil"/>
              <w:left w:val="nil"/>
              <w:bottom w:val="nil"/>
              <w:right w:val="nil"/>
            </w:tcBorders>
            <w:shd w:val="clear" w:color="auto" w:fill="FFFFFF"/>
          </w:tcPr>
          <w:p w14:paraId="69EFFAAC" w14:textId="275ED713" w:rsidR="00725776" w:rsidRPr="00820242" w:rsidRDefault="00725776" w:rsidP="005D725B">
            <w:pPr>
              <w:pStyle w:val="af5"/>
              <w:cnfStyle w:val="000000000000" w:firstRow="0" w:lastRow="0" w:firstColumn="0" w:lastColumn="0" w:oddVBand="0" w:evenVBand="0" w:oddHBand="0" w:evenHBand="0" w:firstRowFirstColumn="0" w:firstRowLastColumn="0" w:lastRowFirstColumn="0" w:lastRowLastColumn="0"/>
            </w:pPr>
            <m:oMathPara>
              <m:oMath>
                <m:r>
                  <w:rPr>
                    <w:rFonts w:ascii="Cambria Math" w:hAnsi="Cambria Math"/>
                  </w:rPr>
                  <m:t>R-</m:t>
                </m:r>
                <m:sSub>
                  <m:sSubPr>
                    <m:ctrlPr>
                      <w:rPr>
                        <w:rFonts w:ascii="Cambria Math" w:hAnsi="Cambria Math"/>
                        <w:i/>
                      </w:rPr>
                    </m:ctrlPr>
                  </m:sSubPr>
                  <m:e>
                    <m:r>
                      <w:rPr>
                        <w:rFonts w:ascii="Cambria Math" w:hAnsi="Cambria Math"/>
                      </w:rPr>
                      <m:t>C</m:t>
                    </m:r>
                  </m:e>
                  <m:sub>
                    <m:r>
                      <w:rPr>
                        <w:rFonts w:ascii="Cambria Math" w:hAnsi="Cambria Math"/>
                      </w:rPr>
                      <m:t>L</m:t>
                    </m:r>
                  </m:sub>
                </m:sSub>
                <m:r>
                  <w:rPr>
                    <w:rFonts w:ascii="Cambria Math" w:hAnsi="Cambria Math"/>
                  </w:rPr>
                  <m:t>-αF</m:t>
                </m:r>
              </m:oMath>
            </m:oMathPara>
          </w:p>
        </w:tc>
        <w:tc>
          <w:tcPr>
            <w:tcW w:w="0" w:type="auto"/>
            <w:tcBorders>
              <w:top w:val="nil"/>
              <w:left w:val="nil"/>
              <w:bottom w:val="nil"/>
              <w:right w:val="nil"/>
            </w:tcBorders>
            <w:shd w:val="clear" w:color="auto" w:fill="FFFFFF"/>
          </w:tcPr>
          <w:p w14:paraId="36709923" w14:textId="730E32AF" w:rsidR="00725776" w:rsidRPr="00820242" w:rsidRDefault="00725776" w:rsidP="005D725B">
            <w:pPr>
              <w:pStyle w:val="af5"/>
              <w:cnfStyle w:val="000000000000" w:firstRow="0" w:lastRow="0" w:firstColumn="0" w:lastColumn="0" w:oddVBand="0" w:evenVBand="0" w:oddHBand="0" w:evenHBand="0" w:firstRowFirstColumn="0" w:firstRowLastColumn="0" w:lastRowFirstColumn="0" w:lastRowLastColumn="0"/>
            </w:pPr>
            <m:oMathPara>
              <m:oMath>
                <m:r>
                  <w:rPr>
                    <w:rFonts w:ascii="Cambria Math" w:hAnsi="Cambria Math"/>
                  </w:rPr>
                  <m:t>R-</m:t>
                </m:r>
                <m:sSub>
                  <m:sSubPr>
                    <m:ctrlPr>
                      <w:rPr>
                        <w:rFonts w:ascii="Cambria Math" w:hAnsi="Cambria Math"/>
                        <w:i/>
                      </w:rPr>
                    </m:ctrlPr>
                  </m:sSubPr>
                  <m:e>
                    <m:r>
                      <w:rPr>
                        <w:rFonts w:ascii="Cambria Math" w:hAnsi="Cambria Math"/>
                      </w:rPr>
                      <m:t>C</m:t>
                    </m:r>
                  </m:e>
                  <m:sub>
                    <m:r>
                      <w:rPr>
                        <w:rFonts w:ascii="Cambria Math" w:hAnsi="Cambria Math"/>
                      </w:rPr>
                      <m:t>L</m:t>
                    </m:r>
                  </m:sub>
                </m:sSub>
                <m:r>
                  <w:rPr>
                    <w:rFonts w:ascii="Cambria Math" w:hAnsi="Cambria Math"/>
                  </w:rPr>
                  <m:t>-</m:t>
                </m:r>
                <m:r>
                  <w:rPr>
                    <w:rFonts w:ascii="Cambria Math" w:hAnsi="Cambria Math"/>
                  </w:rPr>
                  <m:t>θ</m:t>
                </m:r>
                <m:r>
                  <w:rPr>
                    <w:rFonts w:ascii="Cambria Math" w:eastAsiaTheme="minorEastAsia" w:hAnsi="Cambria Math"/>
                  </w:rPr>
                  <m:t>M</m:t>
                </m:r>
                <m:r>
                  <w:rPr>
                    <w:rFonts w:ascii="Cambria Math" w:hAnsi="Cambria Math"/>
                  </w:rPr>
                  <m:t>-βF</m:t>
                </m:r>
              </m:oMath>
            </m:oMathPara>
          </w:p>
        </w:tc>
      </w:tr>
      <w:tr w:rsidR="00725776" w:rsidRPr="00820242" w14:paraId="6ECD725B" w14:textId="77777777" w:rsidTr="0010107C">
        <w:trPr>
          <w:jc w:val="center"/>
        </w:trPr>
        <w:tc>
          <w:tcPr>
            <w:cnfStyle w:val="001000000000" w:firstRow="0" w:lastRow="0" w:firstColumn="1" w:lastColumn="0" w:oddVBand="0" w:evenVBand="0" w:oddHBand="0" w:evenHBand="0" w:firstRowFirstColumn="0" w:firstRowLastColumn="0" w:lastRowFirstColumn="0" w:lastRowLastColumn="0"/>
            <w:tcW w:w="1250" w:type="dxa"/>
            <w:vMerge/>
            <w:tcBorders>
              <w:top w:val="nil"/>
              <w:left w:val="nil"/>
              <w:bottom w:val="single" w:sz="12" w:space="0" w:color="000000"/>
              <w:right w:val="nil"/>
            </w:tcBorders>
            <w:shd w:val="clear" w:color="auto" w:fill="FFFFFF"/>
          </w:tcPr>
          <w:p w14:paraId="25ECDA68" w14:textId="77777777" w:rsidR="00725776" w:rsidRPr="00820242" w:rsidRDefault="00725776" w:rsidP="005D725B">
            <w:pPr>
              <w:pStyle w:val="af5"/>
            </w:pPr>
          </w:p>
        </w:tc>
        <w:tc>
          <w:tcPr>
            <w:tcW w:w="1550" w:type="dxa"/>
            <w:tcBorders>
              <w:top w:val="nil"/>
              <w:left w:val="nil"/>
              <w:bottom w:val="single" w:sz="12" w:space="0" w:color="000000"/>
              <w:right w:val="nil"/>
            </w:tcBorders>
            <w:shd w:val="clear" w:color="auto" w:fill="FFFFFF"/>
          </w:tcPr>
          <w:p w14:paraId="0A839842" w14:textId="77777777" w:rsidR="00725776" w:rsidRPr="00820242" w:rsidRDefault="00725776" w:rsidP="005D725B">
            <w:pPr>
              <w:pStyle w:val="af5"/>
              <w:cnfStyle w:val="000000000000" w:firstRow="0" w:lastRow="0" w:firstColumn="0" w:lastColumn="0" w:oddVBand="0" w:evenVBand="0" w:oddHBand="0" w:evenHBand="0" w:firstRowFirstColumn="0" w:firstRowLastColumn="0" w:lastRowFirstColumn="0" w:lastRowLastColumn="0"/>
            </w:pPr>
            <w:r w:rsidRPr="00820242">
              <w:rPr>
                <w:rFonts w:hint="eastAsia"/>
              </w:rPr>
              <w:t>High quality (H)</w:t>
            </w:r>
          </w:p>
        </w:tc>
        <w:tc>
          <w:tcPr>
            <w:tcW w:w="0" w:type="auto"/>
            <w:tcBorders>
              <w:top w:val="nil"/>
              <w:left w:val="nil"/>
              <w:bottom w:val="single" w:sz="12" w:space="0" w:color="000000"/>
              <w:right w:val="nil"/>
            </w:tcBorders>
            <w:shd w:val="clear" w:color="auto" w:fill="FFFFFF"/>
          </w:tcPr>
          <w:p w14:paraId="7574D299" w14:textId="1A38D22F" w:rsidR="00725776" w:rsidRPr="0010107C" w:rsidRDefault="00725776" w:rsidP="005D725B">
            <w:pPr>
              <w:pStyle w:val="af5"/>
              <w:cnfStyle w:val="000000000000" w:firstRow="0" w:lastRow="0" w:firstColumn="0" w:lastColumn="0" w:oddVBand="0" w:evenVBand="0" w:oddHBand="0" w:evenHBand="0" w:firstRowFirstColumn="0" w:firstRowLastColumn="0" w:lastRowFirstColumn="0" w:lastRowLastColumn="0"/>
              <w:rPr>
                <w:rFonts w:eastAsiaTheme="minorEastAsia" w:hint="eastAsia"/>
                <w:i/>
              </w:rPr>
            </w:pPr>
            <m:oMathPara>
              <m:oMath>
                <m:r>
                  <w:rPr>
                    <w:rFonts w:ascii="Cambria Math" w:hAnsi="Cambria Math"/>
                  </w:rPr>
                  <m:t>R-</m:t>
                </m:r>
                <m:sSub>
                  <m:sSubPr>
                    <m:ctrlPr>
                      <w:rPr>
                        <w:rFonts w:ascii="Cambria Math" w:hAnsi="Cambria Math"/>
                        <w:i/>
                      </w:rPr>
                    </m:ctrlPr>
                  </m:sSubPr>
                  <m:e>
                    <m:r>
                      <w:rPr>
                        <w:rFonts w:ascii="Cambria Math" w:hAnsi="Cambria Math"/>
                      </w:rPr>
                      <m:t>C</m:t>
                    </m:r>
                  </m:e>
                  <m:sub>
                    <m:r>
                      <w:rPr>
                        <w:rFonts w:ascii="Cambria Math" w:hAnsi="Cambria Math"/>
                      </w:rPr>
                      <m:t>H</m:t>
                    </m:r>
                  </m:sub>
                </m:sSub>
              </m:oMath>
            </m:oMathPara>
          </w:p>
        </w:tc>
        <w:tc>
          <w:tcPr>
            <w:tcW w:w="0" w:type="auto"/>
            <w:tcBorders>
              <w:top w:val="nil"/>
              <w:left w:val="nil"/>
              <w:bottom w:val="single" w:sz="12" w:space="0" w:color="000000"/>
              <w:right w:val="nil"/>
            </w:tcBorders>
            <w:shd w:val="clear" w:color="auto" w:fill="FFFFFF"/>
          </w:tcPr>
          <w:p w14:paraId="1DC02162" w14:textId="37F5FCAF" w:rsidR="00725776" w:rsidRPr="0010107C" w:rsidRDefault="00725776" w:rsidP="005D725B">
            <w:pPr>
              <w:pStyle w:val="af5"/>
              <w:cnfStyle w:val="000000000000" w:firstRow="0" w:lastRow="0" w:firstColumn="0" w:lastColumn="0" w:oddVBand="0" w:evenVBand="0" w:oddHBand="0" w:evenHBand="0" w:firstRowFirstColumn="0" w:firstRowLastColumn="0" w:lastRowFirstColumn="0" w:lastRowLastColumn="0"/>
              <w:rPr>
                <w:rFonts w:eastAsiaTheme="minorEastAsia" w:hint="eastAsia"/>
                <w:i/>
              </w:rPr>
            </w:pPr>
            <m:oMathPara>
              <m:oMath>
                <m:r>
                  <w:rPr>
                    <w:rFonts w:ascii="Cambria Math" w:hAnsi="Cambria Math"/>
                  </w:rPr>
                  <m:t>R-</m:t>
                </m:r>
                <m:sSub>
                  <m:sSubPr>
                    <m:ctrlPr>
                      <w:rPr>
                        <w:rFonts w:ascii="Cambria Math" w:hAnsi="Cambria Math"/>
                        <w:i/>
                      </w:rPr>
                    </m:ctrlPr>
                  </m:sSubPr>
                  <m:e>
                    <m:r>
                      <w:rPr>
                        <w:rFonts w:ascii="Cambria Math" w:hAnsi="Cambria Math"/>
                      </w:rPr>
                      <m:t>C</m:t>
                    </m:r>
                  </m:e>
                  <m:sub>
                    <m:r>
                      <w:rPr>
                        <w:rFonts w:ascii="Cambria Math" w:hAnsi="Cambria Math"/>
                      </w:rPr>
                      <m:t>H</m:t>
                    </m:r>
                  </m:sub>
                </m:sSub>
                <m:r>
                  <w:rPr>
                    <w:rFonts w:ascii="Cambria Math" w:hAnsi="Cambria Math"/>
                  </w:rPr>
                  <m:t>+θ</m:t>
                </m:r>
                <m:r>
                  <w:rPr>
                    <w:rFonts w:ascii="Cambria Math" w:eastAsiaTheme="minorEastAsia" w:hAnsi="Cambria Math"/>
                  </w:rPr>
                  <m:t>D</m:t>
                </m:r>
              </m:oMath>
            </m:oMathPara>
          </w:p>
        </w:tc>
      </w:tr>
    </w:tbl>
    <w:p w14:paraId="25AA4F71" w14:textId="2AA617DD" w:rsidR="0010107C" w:rsidRDefault="0010107C" w:rsidP="005D725B">
      <w:pPr>
        <w:ind w:firstLine="440"/>
        <w:rPr>
          <w:rFonts w:eastAsia="等线"/>
        </w:rPr>
      </w:pPr>
      <w:r w:rsidRPr="0010107C">
        <w:rPr>
          <w:rFonts w:eastAsia="等线"/>
        </w:rPr>
        <w:t xml:space="preserve">The high-quality payoff advantage is </w:t>
      </w:r>
      <m:oMath>
        <m:r>
          <w:rPr>
            <w:rFonts w:ascii="Cambria Math" w:eastAsia="等线" w:hAnsi="Cambria Math"/>
          </w:rPr>
          <m:t>Δ</m:t>
        </m:r>
        <m:sSub>
          <m:sSubPr>
            <m:ctrlPr>
              <w:rPr>
                <w:rFonts w:ascii="Cambria Math" w:eastAsia="等线" w:hAnsi="Cambria Math"/>
                <w:i/>
              </w:rPr>
            </m:ctrlPr>
          </m:sSubPr>
          <m:e>
            <m:r>
              <w:rPr>
                <w:rFonts w:ascii="Cambria Math" w:eastAsia="等线" w:hAnsi="Cambria Math"/>
              </w:rPr>
              <m:t>π</m:t>
            </m:r>
          </m:e>
          <m:sub>
            <m:r>
              <w:rPr>
                <w:rFonts w:ascii="Cambria Math" w:eastAsia="等线" w:hAnsi="Cambria Math"/>
              </w:rPr>
              <m:t>T</m:t>
            </m:r>
          </m:sub>
        </m:sSub>
        <m:r>
          <w:rPr>
            <w:rFonts w:ascii="Cambria Math" w:eastAsia="等线" w:hAnsi="Cambria Math"/>
          </w:rPr>
          <m:t>=αF-(</m:t>
        </m:r>
        <m:sSub>
          <m:sSubPr>
            <m:ctrlPr>
              <w:rPr>
                <w:rFonts w:ascii="Cambria Math" w:eastAsia="等线" w:hAnsi="Cambria Math"/>
                <w:i/>
              </w:rPr>
            </m:ctrlPr>
          </m:sSubPr>
          <m:e>
            <m:r>
              <w:rPr>
                <w:rFonts w:ascii="Cambria Math" w:eastAsia="等线" w:hAnsi="Cambria Math"/>
              </w:rPr>
              <m:t>C</m:t>
            </m:r>
          </m:e>
          <m:sub>
            <m:r>
              <w:rPr>
                <w:rFonts w:ascii="Cambria Math" w:eastAsia="等线" w:hAnsi="Cambria Math"/>
              </w:rPr>
              <m:t>H</m:t>
            </m:r>
          </m:sub>
        </m:sSub>
        <m:r>
          <w:rPr>
            <w:rFonts w:ascii="Cambria Math" w:eastAsia="等线" w:hAnsi="Cambria Math"/>
          </w:rPr>
          <m:t>-</m:t>
        </m:r>
        <m:sSub>
          <m:sSubPr>
            <m:ctrlPr>
              <w:rPr>
                <w:rFonts w:ascii="Cambria Math" w:eastAsia="等线" w:hAnsi="Cambria Math"/>
                <w:i/>
              </w:rPr>
            </m:ctrlPr>
          </m:sSubPr>
          <m:e>
            <m:r>
              <w:rPr>
                <w:rFonts w:ascii="Cambria Math" w:eastAsia="等线" w:hAnsi="Cambria Math"/>
              </w:rPr>
              <m:t>C</m:t>
            </m:r>
          </m:e>
          <m:sub>
            <m:r>
              <w:rPr>
                <w:rFonts w:ascii="Cambria Math" w:eastAsia="等线" w:hAnsi="Cambria Math"/>
              </w:rPr>
              <m:t>L</m:t>
            </m:r>
          </m:sub>
        </m:sSub>
        <m:r>
          <w:rPr>
            <w:rFonts w:ascii="Cambria Math" w:eastAsia="等线" w:hAnsi="Cambria Math"/>
          </w:rPr>
          <m:t xml:space="preserve">) </m:t>
        </m:r>
      </m:oMath>
      <w:r w:rsidRPr="0010107C">
        <w:rPr>
          <w:rFonts w:eastAsia="等线"/>
        </w:rPr>
        <w:t xml:space="preserve">under T and </w:t>
      </w:r>
      <m:oMath>
        <m:r>
          <w:rPr>
            <w:rFonts w:ascii="Cambria Math" w:eastAsia="等线" w:hAnsi="Cambria Math"/>
          </w:rPr>
          <m:t>Δ</m:t>
        </m:r>
        <m:sSub>
          <m:sSubPr>
            <m:ctrlPr>
              <w:rPr>
                <w:rFonts w:ascii="Cambria Math" w:eastAsia="等线" w:hAnsi="Cambria Math"/>
                <w:i/>
              </w:rPr>
            </m:ctrlPr>
          </m:sSubPr>
          <m:e>
            <m:r>
              <w:rPr>
                <w:rFonts w:ascii="Cambria Math" w:eastAsia="等线" w:hAnsi="Cambria Math"/>
              </w:rPr>
              <m:t>π</m:t>
            </m:r>
          </m:e>
          <m:sub>
            <m:r>
              <w:rPr>
                <w:rFonts w:ascii="Cambria Math" w:eastAsia="等线" w:hAnsi="Cambria Math"/>
              </w:rPr>
              <m:t>B</m:t>
            </m:r>
          </m:sub>
        </m:sSub>
        <m:r>
          <w:rPr>
            <w:rFonts w:ascii="Cambria Math" w:eastAsia="等线" w:hAnsi="Cambria Math"/>
          </w:rPr>
          <m:t>=θ(D + M)+βF-(</m:t>
        </m:r>
        <m:sSub>
          <m:sSubPr>
            <m:ctrlPr>
              <w:rPr>
                <w:rFonts w:ascii="Cambria Math" w:eastAsia="等线" w:hAnsi="Cambria Math"/>
                <w:i/>
              </w:rPr>
            </m:ctrlPr>
          </m:sSubPr>
          <m:e>
            <m:r>
              <w:rPr>
                <w:rFonts w:ascii="Cambria Math" w:eastAsia="等线" w:hAnsi="Cambria Math"/>
              </w:rPr>
              <m:t>C</m:t>
            </m:r>
          </m:e>
          <m:sub>
            <m:r>
              <w:rPr>
                <w:rFonts w:ascii="Cambria Math" w:eastAsia="等线" w:hAnsi="Cambria Math"/>
              </w:rPr>
              <m:t>H</m:t>
            </m:r>
          </m:sub>
        </m:sSub>
        <m:r>
          <w:rPr>
            <w:rFonts w:ascii="Cambria Math" w:eastAsia="等线" w:hAnsi="Cambria Math"/>
          </w:rPr>
          <m:t>-</m:t>
        </m:r>
        <m:sSub>
          <m:sSubPr>
            <m:ctrlPr>
              <w:rPr>
                <w:rFonts w:ascii="Cambria Math" w:eastAsia="等线" w:hAnsi="Cambria Math"/>
                <w:i/>
              </w:rPr>
            </m:ctrlPr>
          </m:sSubPr>
          <m:e>
            <m:r>
              <w:rPr>
                <w:rFonts w:ascii="Cambria Math" w:eastAsia="等线" w:hAnsi="Cambria Math"/>
              </w:rPr>
              <m:t>C</m:t>
            </m:r>
          </m:e>
          <m:sub>
            <m:r>
              <w:rPr>
                <w:rFonts w:ascii="Cambria Math" w:eastAsia="等线" w:hAnsi="Cambria Math"/>
              </w:rPr>
              <m:t>L</m:t>
            </m:r>
          </m:sub>
        </m:sSub>
        <m:r>
          <w:rPr>
            <w:rFonts w:ascii="Cambria Math" w:eastAsia="等线" w:hAnsi="Cambria Math"/>
          </w:rPr>
          <m:t>)</m:t>
        </m:r>
      </m:oMath>
      <w:r w:rsidRPr="0010107C">
        <w:rPr>
          <w:rFonts w:eastAsia="等线"/>
        </w:rPr>
        <w:t xml:space="preserve"> under B. For either fixed regime g, the contractor population follows </w:t>
      </w:r>
      <m:oMath>
        <m:f>
          <m:fPr>
            <m:ctrlPr>
              <w:rPr>
                <w:rFonts w:ascii="Cambria Math" w:eastAsia="等线" w:hAnsi="Cambria Math"/>
                <w:i/>
              </w:rPr>
            </m:ctrlPr>
          </m:fPr>
          <m:num>
            <m:r>
              <w:rPr>
                <w:rFonts w:ascii="Cambria Math" w:eastAsia="等线" w:hAnsi="Cambria Math"/>
              </w:rPr>
              <m:t>dx</m:t>
            </m:r>
          </m:num>
          <m:den>
            <m:r>
              <w:rPr>
                <w:rFonts w:ascii="Cambria Math" w:eastAsia="等线" w:hAnsi="Cambria Math"/>
              </w:rPr>
              <m:t>dt</m:t>
            </m:r>
          </m:den>
        </m:f>
        <m:r>
          <w:rPr>
            <w:rFonts w:ascii="Cambria Math" w:eastAsia="等线" w:hAnsi="Cambria Math"/>
          </w:rPr>
          <m:t>=x</m:t>
        </m:r>
        <m:d>
          <m:dPr>
            <m:ctrlPr>
              <w:rPr>
                <w:rFonts w:ascii="Cambria Math" w:eastAsia="等线" w:hAnsi="Cambria Math"/>
                <w:i/>
              </w:rPr>
            </m:ctrlPr>
          </m:dPr>
          <m:e>
            <m:r>
              <w:rPr>
                <w:rFonts w:ascii="Cambria Math" w:eastAsia="等线" w:hAnsi="Cambria Math"/>
              </w:rPr>
              <m:t>1 - x</m:t>
            </m:r>
          </m:e>
        </m:d>
        <m:r>
          <w:rPr>
            <w:rFonts w:ascii="Cambria Math" w:eastAsia="等线" w:hAnsi="Cambria Math"/>
          </w:rPr>
          <m:t>Δ</m:t>
        </m:r>
        <m:sSub>
          <m:sSubPr>
            <m:ctrlPr>
              <w:rPr>
                <w:rFonts w:ascii="Cambria Math" w:eastAsia="等线" w:hAnsi="Cambria Math"/>
                <w:i/>
              </w:rPr>
            </m:ctrlPr>
          </m:sSubPr>
          <m:e>
            <m:r>
              <w:rPr>
                <w:rFonts w:ascii="Cambria Math" w:eastAsia="等线" w:hAnsi="Cambria Math"/>
              </w:rPr>
              <m:t>π</m:t>
            </m:r>
          </m:e>
          <m:sub>
            <m:r>
              <w:rPr>
                <w:rFonts w:ascii="Cambria Math" w:eastAsia="等线" w:hAnsi="Cambria Math"/>
              </w:rPr>
              <m:t>g</m:t>
            </m:r>
          </m:sub>
        </m:sSub>
        <m:r>
          <w:rPr>
            <w:rFonts w:ascii="Cambria Math" w:eastAsia="等线" w:hAnsi="Cambria Math"/>
          </w:rPr>
          <m:t>.</m:t>
        </m:r>
      </m:oMath>
      <w:r w:rsidRPr="0010107C">
        <w:rPr>
          <w:rFonts w:eastAsia="等线"/>
        </w:rPr>
        <w:t xml:space="preserve"> When</w:t>
      </w:r>
      <m:oMath>
        <m:r>
          <w:rPr>
            <w:rFonts w:ascii="Cambria Math" w:eastAsia="等线" w:hAnsi="Cambria Math"/>
          </w:rPr>
          <m:t xml:space="preserve"> Δ</m:t>
        </m:r>
        <m:sSub>
          <m:sSubPr>
            <m:ctrlPr>
              <w:rPr>
                <w:rFonts w:ascii="Cambria Math" w:eastAsia="等线" w:hAnsi="Cambria Math"/>
                <w:i/>
              </w:rPr>
            </m:ctrlPr>
          </m:sSubPr>
          <m:e>
            <m:r>
              <w:rPr>
                <w:rFonts w:ascii="Cambria Math" w:eastAsia="等线" w:hAnsi="Cambria Math"/>
              </w:rPr>
              <m:t>π</m:t>
            </m:r>
          </m:e>
          <m:sub>
            <m:r>
              <w:rPr>
                <w:rFonts w:ascii="Cambria Math" w:eastAsia="等线" w:hAnsi="Cambria Math"/>
              </w:rPr>
              <m:t>g</m:t>
            </m:r>
          </m:sub>
        </m:sSub>
        <m:r>
          <w:rPr>
            <w:rFonts w:ascii="Cambria Math" w:eastAsia="等线" w:hAnsi="Cambria Math"/>
          </w:rPr>
          <m:t>&gt;0</m:t>
        </m:r>
      </m:oMath>
      <w:r w:rsidRPr="0010107C">
        <w:rPr>
          <w:rFonts w:eastAsia="等线"/>
        </w:rPr>
        <w:t>,</w:t>
      </w:r>
      <m:oMath>
        <m:r>
          <w:rPr>
            <w:rFonts w:ascii="Cambria Math" w:eastAsia="等线" w:hAnsi="Cambria Math"/>
          </w:rPr>
          <m:t xml:space="preserve"> x=</m:t>
        </m:r>
        <m:r>
          <w:rPr>
            <w:rFonts w:ascii="Cambria Math" w:eastAsia="等线" w:hAnsi="Cambria Math"/>
          </w:rPr>
          <m:t>1</m:t>
        </m:r>
      </m:oMath>
      <w:r w:rsidRPr="0010107C">
        <w:rPr>
          <w:rFonts w:eastAsia="等线"/>
        </w:rPr>
        <w:t xml:space="preserve"> is asymptotically stable and every interior initial condition converges toward high quality. When </w:t>
      </w:r>
      <m:oMath>
        <m:r>
          <w:rPr>
            <w:rFonts w:ascii="Cambria Math" w:eastAsia="等线" w:hAnsi="Cambria Math"/>
          </w:rPr>
          <m:t>Δ</m:t>
        </m:r>
        <m:sSub>
          <m:sSubPr>
            <m:ctrlPr>
              <w:rPr>
                <w:rFonts w:ascii="Cambria Math" w:eastAsia="等线" w:hAnsi="Cambria Math"/>
                <w:i/>
              </w:rPr>
            </m:ctrlPr>
          </m:sSubPr>
          <m:e>
            <m:r>
              <w:rPr>
                <w:rFonts w:ascii="Cambria Math" w:eastAsia="等线" w:hAnsi="Cambria Math"/>
              </w:rPr>
              <m:t>π</m:t>
            </m:r>
          </m:e>
          <m:sub>
            <m:r>
              <w:rPr>
                <w:rFonts w:ascii="Cambria Math" w:eastAsia="等线" w:hAnsi="Cambria Math"/>
              </w:rPr>
              <m:t>g</m:t>
            </m:r>
          </m:sub>
        </m:sSub>
        <m:r>
          <w:rPr>
            <w:rFonts w:ascii="Cambria Math" w:eastAsia="等线" w:hAnsi="Cambria Math"/>
          </w:rPr>
          <m:t>&lt;0</m:t>
        </m:r>
      </m:oMath>
      <w:r w:rsidRPr="0010107C">
        <w:rPr>
          <w:rFonts w:eastAsia="等线"/>
        </w:rPr>
        <w:t xml:space="preserve">, </w:t>
      </w:r>
      <m:oMath>
        <m:r>
          <w:rPr>
            <w:rFonts w:ascii="Cambria Math" w:eastAsia="等线" w:hAnsi="Cambria Math"/>
          </w:rPr>
          <m:t>x=0</m:t>
        </m:r>
      </m:oMath>
      <w:r w:rsidRPr="0010107C">
        <w:rPr>
          <w:rFonts w:eastAsia="等线"/>
        </w:rPr>
        <w:t xml:space="preserve"> is asymptotically stable. If </w:t>
      </w:r>
      <m:oMath>
        <m:r>
          <w:rPr>
            <w:rFonts w:ascii="Cambria Math" w:eastAsia="等线" w:hAnsi="Cambria Math"/>
          </w:rPr>
          <m:t>Δ</m:t>
        </m:r>
        <m:sSub>
          <m:sSubPr>
            <m:ctrlPr>
              <w:rPr>
                <w:rFonts w:ascii="Cambria Math" w:eastAsia="等线" w:hAnsi="Cambria Math"/>
                <w:i/>
              </w:rPr>
            </m:ctrlPr>
          </m:sSubPr>
          <m:e>
            <m:r>
              <w:rPr>
                <w:rFonts w:ascii="Cambria Math" w:eastAsia="等线" w:hAnsi="Cambria Math"/>
              </w:rPr>
              <m:t>π</m:t>
            </m:r>
          </m:e>
          <m:sub>
            <m:r>
              <w:rPr>
                <w:rFonts w:ascii="Cambria Math" w:eastAsia="等线" w:hAnsi="Cambria Math"/>
              </w:rPr>
              <m:t>g</m:t>
            </m:r>
          </m:sub>
        </m:sSub>
        <m:r>
          <w:rPr>
            <w:rFonts w:ascii="Cambria Math" w:eastAsia="等线" w:hAnsi="Cambria Math"/>
          </w:rPr>
          <m:t>=0,</m:t>
        </m:r>
      </m:oMath>
      <w:r w:rsidRPr="0010107C">
        <w:rPr>
          <w:rFonts w:eastAsia="等线"/>
        </w:rPr>
        <w:t xml:space="preserve"> the model yields neutral stationarity at every strategy proportion.</w:t>
      </w:r>
    </w:p>
    <w:p w14:paraId="1B1C8CFD" w14:textId="2CE12735" w:rsidR="003D5704" w:rsidRDefault="003D5704" w:rsidP="003D5704">
      <w:pPr>
        <w:ind w:firstLine="440"/>
        <w:rPr>
          <w:rFonts w:eastAsia="等线"/>
        </w:rPr>
      </w:pPr>
      <w:r w:rsidRPr="003D5704">
        <w:rPr>
          <w:rFonts w:eastAsia="等线"/>
        </w:rPr>
        <w:t>Under B, high quality is therefore asymptotically stable when</w:t>
      </w:r>
      <m:oMath>
        <m:r>
          <w:rPr>
            <w:rFonts w:ascii="Cambria Math" w:eastAsia="等线" w:hAnsi="Cambria Math"/>
          </w:rPr>
          <m:t xml:space="preserve"> θ(D + M)+βF&gt;</m:t>
        </m:r>
        <m:sSub>
          <m:sSubPr>
            <m:ctrlPr>
              <w:rPr>
                <w:rFonts w:ascii="Cambria Math" w:eastAsia="等线" w:hAnsi="Cambria Math"/>
                <w:i/>
              </w:rPr>
            </m:ctrlPr>
          </m:sSubPr>
          <m:e>
            <m:r>
              <w:rPr>
                <w:rFonts w:ascii="Cambria Math" w:eastAsia="等线" w:hAnsi="Cambria Math"/>
              </w:rPr>
              <m:t>C</m:t>
            </m:r>
          </m:e>
          <m:sub>
            <m:r>
              <w:rPr>
                <w:rFonts w:ascii="Cambria Math" w:eastAsia="等线" w:hAnsi="Cambria Math"/>
              </w:rPr>
              <m:t>H</m:t>
            </m:r>
          </m:sub>
        </m:sSub>
        <m:r>
          <w:rPr>
            <w:rFonts w:ascii="Cambria Math" w:eastAsia="等线" w:hAnsi="Cambria Math"/>
          </w:rPr>
          <m:t>-</m:t>
        </m:r>
        <m:sSub>
          <m:sSubPr>
            <m:ctrlPr>
              <w:rPr>
                <w:rFonts w:ascii="Cambria Math" w:eastAsia="等线" w:hAnsi="Cambria Math"/>
                <w:i/>
              </w:rPr>
            </m:ctrlPr>
          </m:sSubPr>
          <m:e>
            <m:r>
              <w:rPr>
                <w:rFonts w:ascii="Cambria Math" w:eastAsia="等线" w:hAnsi="Cambria Math"/>
              </w:rPr>
              <m:t>C</m:t>
            </m:r>
          </m:e>
          <m:sub>
            <m:r>
              <w:rPr>
                <w:rFonts w:ascii="Cambria Math" w:eastAsia="等线" w:hAnsi="Cambria Math"/>
              </w:rPr>
              <m:t>L</m:t>
            </m:r>
          </m:sub>
        </m:sSub>
        <m:r>
          <w:rPr>
            <w:rFonts w:ascii="Cambria Math" w:eastAsia="等线" w:hAnsi="Cambria Math"/>
          </w:rPr>
          <m:t>.</m:t>
        </m:r>
      </m:oMath>
      <w:r w:rsidRPr="003D5704">
        <w:rPr>
          <w:rFonts w:eastAsia="等线"/>
        </w:rPr>
        <w:t xml:space="preserve"> For D + M &gt; 0, the corresponding transmission threshold is </w:t>
      </w:r>
      <m:oMath>
        <m:r>
          <w:rPr>
            <w:rFonts w:ascii="Cambria Math" w:eastAsia="等线" w:hAnsi="Cambria Math"/>
          </w:rPr>
          <m:t>θ&gt;[(</m:t>
        </m:r>
        <m:sSub>
          <m:sSubPr>
            <m:ctrlPr>
              <w:rPr>
                <w:rFonts w:ascii="Cambria Math" w:eastAsia="等线" w:hAnsi="Cambria Math"/>
                <w:i/>
              </w:rPr>
            </m:ctrlPr>
          </m:sSubPr>
          <m:e>
            <m:r>
              <w:rPr>
                <w:rFonts w:ascii="Cambria Math" w:eastAsia="等线" w:hAnsi="Cambria Math"/>
              </w:rPr>
              <m:t>C</m:t>
            </m:r>
          </m:e>
          <m:sub>
            <m:r>
              <w:rPr>
                <w:rFonts w:ascii="Cambria Math" w:eastAsia="等线" w:hAnsi="Cambria Math"/>
              </w:rPr>
              <m:t>H</m:t>
            </m:r>
          </m:sub>
        </m:sSub>
        <m:r>
          <w:rPr>
            <w:rFonts w:ascii="Cambria Math" w:eastAsia="等线" w:hAnsi="Cambria Math"/>
          </w:rPr>
          <m:t>-</m:t>
        </m:r>
        <m:sSub>
          <m:sSubPr>
            <m:ctrlPr>
              <w:rPr>
                <w:rFonts w:ascii="Cambria Math" w:eastAsia="等线" w:hAnsi="Cambria Math"/>
                <w:i/>
              </w:rPr>
            </m:ctrlPr>
          </m:sSubPr>
          <m:e>
            <m:r>
              <w:rPr>
                <w:rFonts w:ascii="Cambria Math" w:eastAsia="等线" w:hAnsi="Cambria Math"/>
              </w:rPr>
              <m:t>C</m:t>
            </m:r>
          </m:e>
          <m:sub>
            <m:r>
              <w:rPr>
                <w:rFonts w:ascii="Cambria Math" w:eastAsia="等线" w:hAnsi="Cambria Math"/>
              </w:rPr>
              <m:t>L</m:t>
            </m:r>
          </m:sub>
        </m:sSub>
        <m:r>
          <w:rPr>
            <w:rFonts w:ascii="Cambria Math" w:eastAsia="等线" w:hAnsi="Cambria Math"/>
          </w:rPr>
          <m:t>)-βF]/(D</m:t>
        </m:r>
        <m:r>
          <w:rPr>
            <w:rFonts w:ascii="Cambria Math" w:eastAsia="等线" w:hAnsi="Cambria Math"/>
          </w:rPr>
          <m:t>+</m:t>
        </m:r>
        <m:r>
          <w:rPr>
            <w:rFonts w:ascii="Cambria Math" w:eastAsia="等线" w:hAnsi="Cambria Math"/>
          </w:rPr>
          <m:t>M)</m:t>
        </m:r>
      </m:oMath>
      <w:r w:rsidRPr="003D5704">
        <w:rPr>
          <w:rFonts w:eastAsia="等线"/>
        </w:rPr>
        <w:t>. A threshold below zero indicates that detection and penalties alone suffice. A threshold equal to or above one cannot be exceeded within the admissible range unless other payoff parameters change. Equality gives neutral stationarity.</w:t>
      </w:r>
    </w:p>
    <w:p w14:paraId="171F0AB9" w14:textId="08C7D6DD" w:rsidR="003D5704" w:rsidRDefault="003D5704" w:rsidP="003D5704">
      <w:pPr>
        <w:ind w:firstLine="440"/>
        <w:rPr>
          <w:rFonts w:eastAsia="等线"/>
        </w:rPr>
      </w:pPr>
      <w:r w:rsidRPr="003D5704">
        <w:rPr>
          <w:rFonts w:eastAsia="等线"/>
        </w:rPr>
        <w:lastRenderedPageBreak/>
        <w:t xml:space="preserve">The difference </w:t>
      </w:r>
      <m:oMath>
        <m:r>
          <w:rPr>
            <w:rFonts w:ascii="Cambria Math" w:eastAsia="等线" w:hAnsi="Cambria Math"/>
          </w:rPr>
          <m:t>Δ</m:t>
        </m:r>
        <m:sSub>
          <m:sSubPr>
            <m:ctrlPr>
              <w:rPr>
                <w:rFonts w:ascii="Cambria Math" w:eastAsia="等线" w:hAnsi="Cambria Math"/>
                <w:i/>
              </w:rPr>
            </m:ctrlPr>
          </m:sSubPr>
          <m:e>
            <m:r>
              <w:rPr>
                <w:rFonts w:ascii="Cambria Math" w:eastAsia="等线" w:hAnsi="Cambria Math"/>
              </w:rPr>
              <m:t>π</m:t>
            </m:r>
          </m:e>
          <m:sub>
            <m:r>
              <w:rPr>
                <w:rFonts w:ascii="Cambria Math" w:eastAsia="等线" w:hAnsi="Cambria Math"/>
              </w:rPr>
              <m:t>B</m:t>
            </m:r>
          </m:sub>
        </m:sSub>
        <m:r>
          <w:rPr>
            <w:rFonts w:ascii="Cambria Math" w:eastAsia="等线" w:hAnsi="Cambria Math"/>
          </w:rPr>
          <m:t>-Δ</m:t>
        </m:r>
        <m:sSub>
          <m:sSubPr>
            <m:ctrlPr>
              <w:rPr>
                <w:rFonts w:ascii="Cambria Math" w:eastAsia="等线" w:hAnsi="Cambria Math"/>
                <w:i/>
              </w:rPr>
            </m:ctrlPr>
          </m:sSubPr>
          <m:e>
            <m:r>
              <w:rPr>
                <w:rFonts w:ascii="Cambria Math" w:eastAsia="等线" w:hAnsi="Cambria Math"/>
              </w:rPr>
              <m:t>π</m:t>
            </m:r>
          </m:e>
          <m:sub>
            <m:r>
              <w:rPr>
                <w:rFonts w:ascii="Cambria Math" w:eastAsia="等线" w:hAnsi="Cambria Math"/>
              </w:rPr>
              <m:t>T</m:t>
            </m:r>
          </m:sub>
        </m:sSub>
        <m:r>
          <w:rPr>
            <w:rFonts w:ascii="Cambria Math" w:eastAsia="等线" w:hAnsi="Cambria Math"/>
          </w:rPr>
          <m:t>=θ(D+M)+(β-α)F</m:t>
        </m:r>
      </m:oMath>
      <w:r w:rsidRPr="003D5704">
        <w:rPr>
          <w:rFonts w:eastAsia="等线"/>
        </w:rPr>
        <w:t xml:space="preserve"> separates the assumed contractual and detection channels. Its magnitude and the sign of </w:t>
      </w:r>
      <m:oMath>
        <m:r>
          <w:rPr>
            <w:rFonts w:ascii="Cambria Math" w:eastAsia="等线" w:hAnsi="Cambria Math"/>
          </w:rPr>
          <m:t>Δ</m:t>
        </m:r>
        <m:sSub>
          <m:sSubPr>
            <m:ctrlPr>
              <w:rPr>
                <w:rFonts w:ascii="Cambria Math" w:eastAsia="等线" w:hAnsi="Cambria Math"/>
                <w:i/>
              </w:rPr>
            </m:ctrlPr>
          </m:sSubPr>
          <m:e>
            <m:r>
              <w:rPr>
                <w:rFonts w:ascii="Cambria Math" w:eastAsia="等线" w:hAnsi="Cambria Math"/>
              </w:rPr>
              <m:t>π</m:t>
            </m:r>
          </m:e>
          <m:sub>
            <m:r>
              <w:rPr>
                <w:rFonts w:ascii="Cambria Math" w:eastAsia="等线" w:hAnsi="Cambria Math"/>
              </w:rPr>
              <m:t>B</m:t>
            </m:r>
          </m:sub>
        </m:sSub>
      </m:oMath>
      <w:r w:rsidRPr="003D5704">
        <w:rPr>
          <w:rFonts w:eastAsia="等线"/>
        </w:rPr>
        <w:t xml:space="preserve"> depend on the specified parameters. If discount and surcharge transmission differ, the insurance term generalizes to </w:t>
      </w:r>
      <m:oMath>
        <m:sSub>
          <m:sSubPr>
            <m:ctrlPr>
              <w:rPr>
                <w:rFonts w:ascii="Cambria Math" w:eastAsia="等线" w:hAnsi="Cambria Math"/>
                <w:i/>
              </w:rPr>
            </m:ctrlPr>
          </m:sSubPr>
          <m:e>
            <m:r>
              <w:rPr>
                <w:rFonts w:ascii="Cambria Math" w:eastAsia="等线" w:hAnsi="Cambria Math"/>
              </w:rPr>
              <m:t>θ</m:t>
            </m:r>
          </m:e>
          <m:sub>
            <m:r>
              <w:rPr>
                <w:rFonts w:ascii="Cambria Math" w:eastAsia="等线" w:hAnsi="Cambria Math"/>
              </w:rPr>
              <m:t>D</m:t>
            </m:r>
          </m:sub>
        </m:sSub>
        <m:r>
          <w:rPr>
            <w:rFonts w:ascii="Cambria Math" w:eastAsia="等线" w:hAnsi="Cambria Math"/>
          </w:rPr>
          <m:t>D</m:t>
        </m:r>
        <m:r>
          <w:rPr>
            <w:rFonts w:ascii="Cambria Math" w:eastAsia="等线" w:hAnsi="Cambria Math"/>
          </w:rPr>
          <m:t>+</m:t>
        </m:r>
        <m:sSub>
          <m:sSubPr>
            <m:ctrlPr>
              <w:rPr>
                <w:rFonts w:ascii="Cambria Math" w:eastAsia="等线" w:hAnsi="Cambria Math"/>
                <w:i/>
              </w:rPr>
            </m:ctrlPr>
          </m:sSubPr>
          <m:e>
            <m:r>
              <w:rPr>
                <w:rFonts w:ascii="Cambria Math" w:eastAsia="等线" w:hAnsi="Cambria Math"/>
              </w:rPr>
              <m:t>θ</m:t>
            </m:r>
          </m:e>
          <m:sub>
            <m:r>
              <w:rPr>
                <w:rFonts w:ascii="Cambria Math" w:eastAsia="等线" w:hAnsi="Cambria Math"/>
              </w:rPr>
              <m:t>M</m:t>
            </m:r>
          </m:sub>
        </m:sSub>
        <m:r>
          <w:rPr>
            <w:rFonts w:ascii="Cambria Math" w:eastAsia="等线" w:hAnsi="Cambria Math"/>
          </w:rPr>
          <m:t>M</m:t>
        </m:r>
      </m:oMath>
      <w:r w:rsidRPr="003D5704">
        <w:rPr>
          <w:rFonts w:eastAsia="等线"/>
        </w:rPr>
        <w:t>. This analysis characterizes contractor adaptation under a fixed regime. Producer strategies, endogenous governance adoption, insurer participation, and the relationship between the payoff advantage and the event simulation's deterrence factor remain outside its specification.</w:t>
      </w:r>
    </w:p>
    <w:sectPr w:rsidR="003D5704">
      <w:headerReference w:type="even" r:id="rId6"/>
      <w:headerReference w:type="default" r:id="rId7"/>
      <w:footerReference w:type="even" r:id="rId8"/>
      <w:footerReference w:type="default" r:id="rId9"/>
      <w:headerReference w:type="first" r:id="rId10"/>
      <w:footerReference w:type="first" r:id="rId11"/>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9D3FC6" w14:textId="77777777" w:rsidR="005B15D7" w:rsidRDefault="005B15D7" w:rsidP="008A2B70">
      <w:pPr>
        <w:spacing w:line="240" w:lineRule="auto"/>
        <w:ind w:firstLine="440"/>
      </w:pPr>
      <w:r>
        <w:separator/>
      </w:r>
    </w:p>
  </w:endnote>
  <w:endnote w:type="continuationSeparator" w:id="0">
    <w:p w14:paraId="7590A808" w14:textId="77777777" w:rsidR="005B15D7" w:rsidRDefault="005B15D7" w:rsidP="008A2B70">
      <w:pPr>
        <w:spacing w:line="240" w:lineRule="auto"/>
        <w:ind w:firstLine="44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黑体">
    <w:altName w:val="SimHei"/>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E6E741" w14:textId="77777777" w:rsidR="00947E7A" w:rsidRDefault="00947E7A">
    <w:pPr>
      <w:pStyle w:val="af3"/>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84606C" w14:textId="77777777" w:rsidR="00947E7A" w:rsidRDefault="00947E7A">
    <w:pPr>
      <w:pStyle w:val="af3"/>
      <w:ind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C9A68E" w14:textId="77777777" w:rsidR="00947E7A" w:rsidRDefault="00947E7A">
    <w:pPr>
      <w:pStyle w:val="af3"/>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B0E809" w14:textId="77777777" w:rsidR="005B15D7" w:rsidRDefault="005B15D7" w:rsidP="008A2B70">
      <w:pPr>
        <w:spacing w:line="240" w:lineRule="auto"/>
        <w:ind w:firstLine="440"/>
      </w:pPr>
      <w:r>
        <w:separator/>
      </w:r>
    </w:p>
  </w:footnote>
  <w:footnote w:type="continuationSeparator" w:id="0">
    <w:p w14:paraId="2D961C6E" w14:textId="77777777" w:rsidR="005B15D7" w:rsidRDefault="005B15D7" w:rsidP="008A2B70">
      <w:pPr>
        <w:spacing w:line="240" w:lineRule="auto"/>
        <w:ind w:firstLine="44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076778" w14:textId="77777777" w:rsidR="00947E7A" w:rsidRDefault="00947E7A">
    <w:pPr>
      <w:pStyle w:val="af1"/>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49DDAE" w14:textId="77777777" w:rsidR="00947E7A" w:rsidRDefault="00947E7A">
    <w:pPr>
      <w:pStyle w:val="af1"/>
      <w:ind w:firstLine="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A25F09" w14:textId="77777777" w:rsidR="00947E7A" w:rsidRDefault="00947E7A">
    <w:pPr>
      <w:pStyle w:val="af1"/>
      <w:ind w:firstLine="360"/>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0242"/>
    <w:rsid w:val="0008540F"/>
    <w:rsid w:val="0010107C"/>
    <w:rsid w:val="001D64F1"/>
    <w:rsid w:val="002316C2"/>
    <w:rsid w:val="00334EF4"/>
    <w:rsid w:val="003D5704"/>
    <w:rsid w:val="00477FAB"/>
    <w:rsid w:val="00502579"/>
    <w:rsid w:val="005A338F"/>
    <w:rsid w:val="005B15D7"/>
    <w:rsid w:val="005D725B"/>
    <w:rsid w:val="005F5051"/>
    <w:rsid w:val="0061515A"/>
    <w:rsid w:val="00635825"/>
    <w:rsid w:val="006A15B9"/>
    <w:rsid w:val="006B70BA"/>
    <w:rsid w:val="006D2740"/>
    <w:rsid w:val="00725776"/>
    <w:rsid w:val="007A1969"/>
    <w:rsid w:val="00820242"/>
    <w:rsid w:val="008365BF"/>
    <w:rsid w:val="008A2B70"/>
    <w:rsid w:val="008B0A8D"/>
    <w:rsid w:val="00947E7A"/>
    <w:rsid w:val="00962633"/>
    <w:rsid w:val="00973356"/>
    <w:rsid w:val="00991860"/>
    <w:rsid w:val="009D78B1"/>
    <w:rsid w:val="00A01712"/>
    <w:rsid w:val="00AB1044"/>
    <w:rsid w:val="00AF68F3"/>
    <w:rsid w:val="00B74849"/>
    <w:rsid w:val="00D32791"/>
    <w:rsid w:val="00DE5A6E"/>
    <w:rsid w:val="00DF1037"/>
    <w:rsid w:val="00EB0F42"/>
    <w:rsid w:val="00ED115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17E8577"/>
  <w15:chartTrackingRefBased/>
  <w15:docId w15:val="{DC7792A9-DBE4-4008-A8A4-28EE4AFEA0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EB0F42"/>
    <w:pPr>
      <w:widowControl w:val="0"/>
      <w:spacing w:after="0" w:line="480" w:lineRule="auto"/>
      <w:ind w:firstLineChars="200" w:firstLine="200"/>
      <w:jc w:val="both"/>
    </w:pPr>
    <w:rPr>
      <w:rFonts w:ascii="Times New Roman" w:eastAsia="Times New Roman" w:hAnsi="Times New Roman"/>
    </w:rPr>
  </w:style>
  <w:style w:type="paragraph" w:styleId="1">
    <w:name w:val="heading 1"/>
    <w:basedOn w:val="a"/>
    <w:next w:val="a"/>
    <w:link w:val="10"/>
    <w:uiPriority w:val="9"/>
    <w:qFormat/>
    <w:rsid w:val="00820242"/>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820242"/>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820242"/>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820242"/>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820242"/>
    <w:pPr>
      <w:keepNext/>
      <w:keepLines/>
      <w:spacing w:before="80" w:after="40"/>
      <w:outlineLvl w:val="4"/>
    </w:pPr>
    <w:rPr>
      <w:rFonts w:cstheme="majorBidi"/>
      <w:color w:val="2F5496" w:themeColor="accent1" w:themeShade="BF"/>
      <w:sz w:val="24"/>
    </w:rPr>
  </w:style>
  <w:style w:type="paragraph" w:styleId="6">
    <w:name w:val="heading 6"/>
    <w:basedOn w:val="a"/>
    <w:next w:val="a"/>
    <w:link w:val="60"/>
    <w:uiPriority w:val="9"/>
    <w:semiHidden/>
    <w:unhideWhenUsed/>
    <w:qFormat/>
    <w:rsid w:val="00820242"/>
    <w:pPr>
      <w:keepNext/>
      <w:keepLines/>
      <w:spacing w:before="4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820242"/>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820242"/>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820242"/>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a3">
    <w:name w:val="图片"/>
    <w:basedOn w:val="a"/>
    <w:link w:val="a4"/>
    <w:autoRedefine/>
    <w:qFormat/>
    <w:rsid w:val="00991860"/>
    <w:pPr>
      <w:widowControl/>
      <w:adjustRightInd w:val="0"/>
      <w:snapToGrid w:val="0"/>
      <w:outlineLvl w:val="0"/>
    </w:pPr>
    <w:rPr>
      <w:noProof/>
      <w:color w:val="000000"/>
      <w:sz w:val="24"/>
      <w:szCs w:val="22"/>
    </w:rPr>
  </w:style>
  <w:style w:type="character" w:customStyle="1" w:styleId="a4">
    <w:name w:val="图片 字符"/>
    <w:basedOn w:val="a0"/>
    <w:link w:val="a3"/>
    <w:rsid w:val="00991860"/>
    <w:rPr>
      <w:noProof/>
      <w:color w:val="000000"/>
      <w:sz w:val="24"/>
      <w:szCs w:val="22"/>
    </w:rPr>
  </w:style>
  <w:style w:type="character" w:customStyle="1" w:styleId="10">
    <w:name w:val="标题 1 字符"/>
    <w:basedOn w:val="a0"/>
    <w:link w:val="1"/>
    <w:uiPriority w:val="9"/>
    <w:rsid w:val="00820242"/>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820242"/>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820242"/>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820242"/>
    <w:rPr>
      <w:rFonts w:cstheme="majorBidi"/>
      <w:color w:val="2F5496" w:themeColor="accent1" w:themeShade="BF"/>
      <w:sz w:val="28"/>
      <w:szCs w:val="28"/>
    </w:rPr>
  </w:style>
  <w:style w:type="character" w:customStyle="1" w:styleId="50">
    <w:name w:val="标题 5 字符"/>
    <w:basedOn w:val="a0"/>
    <w:link w:val="5"/>
    <w:uiPriority w:val="9"/>
    <w:semiHidden/>
    <w:rsid w:val="00820242"/>
    <w:rPr>
      <w:rFonts w:cstheme="majorBidi"/>
      <w:color w:val="2F5496" w:themeColor="accent1" w:themeShade="BF"/>
      <w:sz w:val="24"/>
    </w:rPr>
  </w:style>
  <w:style w:type="character" w:customStyle="1" w:styleId="60">
    <w:name w:val="标题 6 字符"/>
    <w:basedOn w:val="a0"/>
    <w:link w:val="6"/>
    <w:uiPriority w:val="9"/>
    <w:semiHidden/>
    <w:rsid w:val="00820242"/>
    <w:rPr>
      <w:rFonts w:cstheme="majorBidi"/>
      <w:b/>
      <w:bCs/>
      <w:color w:val="2F5496" w:themeColor="accent1" w:themeShade="BF"/>
    </w:rPr>
  </w:style>
  <w:style w:type="character" w:customStyle="1" w:styleId="70">
    <w:name w:val="标题 7 字符"/>
    <w:basedOn w:val="a0"/>
    <w:link w:val="7"/>
    <w:uiPriority w:val="9"/>
    <w:semiHidden/>
    <w:rsid w:val="00820242"/>
    <w:rPr>
      <w:rFonts w:cstheme="majorBidi"/>
      <w:b/>
      <w:bCs/>
      <w:color w:val="595959" w:themeColor="text1" w:themeTint="A6"/>
    </w:rPr>
  </w:style>
  <w:style w:type="character" w:customStyle="1" w:styleId="80">
    <w:name w:val="标题 8 字符"/>
    <w:basedOn w:val="a0"/>
    <w:link w:val="8"/>
    <w:uiPriority w:val="9"/>
    <w:semiHidden/>
    <w:rsid w:val="00820242"/>
    <w:rPr>
      <w:rFonts w:cstheme="majorBidi"/>
      <w:color w:val="595959" w:themeColor="text1" w:themeTint="A6"/>
    </w:rPr>
  </w:style>
  <w:style w:type="character" w:customStyle="1" w:styleId="90">
    <w:name w:val="标题 9 字符"/>
    <w:basedOn w:val="a0"/>
    <w:link w:val="9"/>
    <w:uiPriority w:val="9"/>
    <w:semiHidden/>
    <w:rsid w:val="00820242"/>
    <w:rPr>
      <w:rFonts w:eastAsiaTheme="majorEastAsia" w:cstheme="majorBidi"/>
      <w:color w:val="595959" w:themeColor="text1" w:themeTint="A6"/>
    </w:rPr>
  </w:style>
  <w:style w:type="paragraph" w:styleId="a5">
    <w:name w:val="Title"/>
    <w:basedOn w:val="a"/>
    <w:next w:val="a"/>
    <w:link w:val="a6"/>
    <w:uiPriority w:val="10"/>
    <w:qFormat/>
    <w:rsid w:val="00820242"/>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6">
    <w:name w:val="标题 字符"/>
    <w:basedOn w:val="a0"/>
    <w:link w:val="a5"/>
    <w:uiPriority w:val="10"/>
    <w:rsid w:val="00820242"/>
    <w:rPr>
      <w:rFonts w:asciiTheme="majorHAnsi" w:eastAsiaTheme="majorEastAsia" w:hAnsiTheme="majorHAnsi" w:cstheme="majorBidi"/>
      <w:spacing w:val="-10"/>
      <w:kern w:val="28"/>
      <w:sz w:val="56"/>
      <w:szCs w:val="56"/>
    </w:rPr>
  </w:style>
  <w:style w:type="paragraph" w:styleId="a7">
    <w:name w:val="Subtitle"/>
    <w:basedOn w:val="a"/>
    <w:next w:val="a"/>
    <w:link w:val="a8"/>
    <w:uiPriority w:val="11"/>
    <w:qFormat/>
    <w:rsid w:val="00820242"/>
    <w:pPr>
      <w:numPr>
        <w:ilvl w:val="1"/>
      </w:numPr>
      <w:ind w:firstLineChars="200" w:firstLine="200"/>
      <w:jc w:val="center"/>
    </w:pPr>
    <w:rPr>
      <w:rFonts w:asciiTheme="majorHAnsi" w:eastAsiaTheme="majorEastAsia" w:hAnsiTheme="majorHAnsi" w:cstheme="majorBidi"/>
      <w:color w:val="595959" w:themeColor="text1" w:themeTint="A6"/>
      <w:spacing w:val="15"/>
      <w:sz w:val="28"/>
      <w:szCs w:val="28"/>
    </w:rPr>
  </w:style>
  <w:style w:type="character" w:customStyle="1" w:styleId="a8">
    <w:name w:val="副标题 字符"/>
    <w:basedOn w:val="a0"/>
    <w:link w:val="a7"/>
    <w:uiPriority w:val="11"/>
    <w:rsid w:val="00820242"/>
    <w:rPr>
      <w:rFonts w:asciiTheme="majorHAnsi" w:eastAsiaTheme="majorEastAsia" w:hAnsiTheme="majorHAnsi" w:cstheme="majorBidi"/>
      <w:color w:val="595959" w:themeColor="text1" w:themeTint="A6"/>
      <w:spacing w:val="15"/>
      <w:sz w:val="28"/>
      <w:szCs w:val="28"/>
    </w:rPr>
  </w:style>
  <w:style w:type="paragraph" w:styleId="a9">
    <w:name w:val="Quote"/>
    <w:basedOn w:val="a"/>
    <w:next w:val="a"/>
    <w:link w:val="aa"/>
    <w:uiPriority w:val="29"/>
    <w:qFormat/>
    <w:rsid w:val="00820242"/>
    <w:pPr>
      <w:spacing w:before="160"/>
      <w:jc w:val="center"/>
    </w:pPr>
    <w:rPr>
      <w:i/>
      <w:iCs/>
      <w:color w:val="404040" w:themeColor="text1" w:themeTint="BF"/>
    </w:rPr>
  </w:style>
  <w:style w:type="character" w:customStyle="1" w:styleId="aa">
    <w:name w:val="引用 字符"/>
    <w:basedOn w:val="a0"/>
    <w:link w:val="a9"/>
    <w:uiPriority w:val="29"/>
    <w:rsid w:val="00820242"/>
    <w:rPr>
      <w:i/>
      <w:iCs/>
      <w:color w:val="404040" w:themeColor="text1" w:themeTint="BF"/>
    </w:rPr>
  </w:style>
  <w:style w:type="paragraph" w:styleId="ab">
    <w:name w:val="List Paragraph"/>
    <w:basedOn w:val="a"/>
    <w:uiPriority w:val="34"/>
    <w:qFormat/>
    <w:rsid w:val="00820242"/>
    <w:pPr>
      <w:ind w:left="720"/>
      <w:contextualSpacing/>
    </w:pPr>
  </w:style>
  <w:style w:type="character" w:styleId="ac">
    <w:name w:val="Intense Emphasis"/>
    <w:basedOn w:val="a0"/>
    <w:uiPriority w:val="21"/>
    <w:qFormat/>
    <w:rsid w:val="00820242"/>
    <w:rPr>
      <w:i/>
      <w:iCs/>
      <w:color w:val="2F5496" w:themeColor="accent1" w:themeShade="BF"/>
    </w:rPr>
  </w:style>
  <w:style w:type="paragraph" w:styleId="ad">
    <w:name w:val="Intense Quote"/>
    <w:basedOn w:val="a"/>
    <w:next w:val="a"/>
    <w:link w:val="ae"/>
    <w:uiPriority w:val="30"/>
    <w:qFormat/>
    <w:rsid w:val="0082024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e">
    <w:name w:val="明显引用 字符"/>
    <w:basedOn w:val="a0"/>
    <w:link w:val="ad"/>
    <w:uiPriority w:val="30"/>
    <w:rsid w:val="00820242"/>
    <w:rPr>
      <w:i/>
      <w:iCs/>
      <w:color w:val="2F5496" w:themeColor="accent1" w:themeShade="BF"/>
    </w:rPr>
  </w:style>
  <w:style w:type="character" w:styleId="af">
    <w:name w:val="Intense Reference"/>
    <w:basedOn w:val="a0"/>
    <w:uiPriority w:val="32"/>
    <w:qFormat/>
    <w:rsid w:val="00820242"/>
    <w:rPr>
      <w:b/>
      <w:bCs/>
      <w:smallCaps/>
      <w:color w:val="2F5496" w:themeColor="accent1" w:themeShade="BF"/>
      <w:spacing w:val="5"/>
    </w:rPr>
  </w:style>
  <w:style w:type="paragraph" w:customStyle="1" w:styleId="11">
    <w:name w:val="标题1"/>
    <w:basedOn w:val="a"/>
    <w:next w:val="a"/>
    <w:link w:val="title"/>
    <w:qFormat/>
    <w:rsid w:val="00820242"/>
    <w:pPr>
      <w:outlineLvl w:val="1"/>
    </w:pPr>
    <w:rPr>
      <w:b/>
      <w:bCs/>
      <w:kern w:val="0"/>
      <w:szCs w:val="22"/>
      <w:lang w:eastAsia="en-US"/>
      <w14:ligatures w14:val="none"/>
    </w:rPr>
  </w:style>
  <w:style w:type="character" w:customStyle="1" w:styleId="title">
    <w:name w:val="title 字符"/>
    <w:basedOn w:val="a0"/>
    <w:link w:val="11"/>
    <w:qFormat/>
    <w:rsid w:val="00820242"/>
    <w:rPr>
      <w:b/>
      <w:bCs/>
      <w:kern w:val="0"/>
      <w:szCs w:val="22"/>
      <w:lang w:eastAsia="en-US"/>
      <w14:ligatures w14:val="none"/>
    </w:rPr>
  </w:style>
  <w:style w:type="table" w:customStyle="1" w:styleId="21">
    <w:name w:val="无格式表格 21"/>
    <w:basedOn w:val="a1"/>
    <w:uiPriority w:val="42"/>
    <w:qFormat/>
    <w:rsid w:val="00820242"/>
    <w:pPr>
      <w:spacing w:after="0" w:line="240" w:lineRule="auto"/>
    </w:pPr>
    <w:rPr>
      <w:rFonts w:ascii="Times New Roman" w:eastAsia="宋体" w:hAnsi="Times New Roman" w:cs="Times New Roman"/>
      <w:kern w:val="0"/>
      <w:sz w:val="20"/>
      <w:szCs w:val="20"/>
      <w14:ligatures w14:val="none"/>
    </w:rPr>
    <w:tblPr>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character" w:styleId="af0">
    <w:name w:val="Placeholder Text"/>
    <w:basedOn w:val="a0"/>
    <w:uiPriority w:val="99"/>
    <w:semiHidden/>
    <w:rsid w:val="00DF1037"/>
    <w:rPr>
      <w:color w:val="666666"/>
    </w:rPr>
  </w:style>
  <w:style w:type="paragraph" w:styleId="af1">
    <w:name w:val="header"/>
    <w:basedOn w:val="a"/>
    <w:link w:val="af2"/>
    <w:uiPriority w:val="99"/>
    <w:unhideWhenUsed/>
    <w:rsid w:val="008A2B70"/>
    <w:pPr>
      <w:tabs>
        <w:tab w:val="center" w:pos="4153"/>
        <w:tab w:val="right" w:pos="8306"/>
      </w:tabs>
      <w:snapToGrid w:val="0"/>
      <w:spacing w:line="240" w:lineRule="auto"/>
      <w:jc w:val="center"/>
    </w:pPr>
    <w:rPr>
      <w:sz w:val="18"/>
      <w:szCs w:val="18"/>
    </w:rPr>
  </w:style>
  <w:style w:type="character" w:customStyle="1" w:styleId="af2">
    <w:name w:val="页眉 字符"/>
    <w:basedOn w:val="a0"/>
    <w:link w:val="af1"/>
    <w:uiPriority w:val="99"/>
    <w:rsid w:val="008A2B70"/>
    <w:rPr>
      <w:sz w:val="18"/>
      <w:szCs w:val="18"/>
    </w:rPr>
  </w:style>
  <w:style w:type="paragraph" w:styleId="af3">
    <w:name w:val="footer"/>
    <w:basedOn w:val="a"/>
    <w:link w:val="af4"/>
    <w:uiPriority w:val="99"/>
    <w:unhideWhenUsed/>
    <w:rsid w:val="008A2B70"/>
    <w:pPr>
      <w:tabs>
        <w:tab w:val="center" w:pos="4153"/>
        <w:tab w:val="right" w:pos="8306"/>
      </w:tabs>
      <w:snapToGrid w:val="0"/>
      <w:spacing w:line="240" w:lineRule="auto"/>
    </w:pPr>
    <w:rPr>
      <w:sz w:val="18"/>
      <w:szCs w:val="18"/>
    </w:rPr>
  </w:style>
  <w:style w:type="character" w:customStyle="1" w:styleId="af4">
    <w:name w:val="页脚 字符"/>
    <w:basedOn w:val="a0"/>
    <w:link w:val="af3"/>
    <w:uiPriority w:val="99"/>
    <w:rsid w:val="008A2B70"/>
    <w:rPr>
      <w:sz w:val="18"/>
      <w:szCs w:val="18"/>
    </w:rPr>
  </w:style>
  <w:style w:type="paragraph" w:styleId="af5">
    <w:name w:val="No Spacing"/>
    <w:uiPriority w:val="1"/>
    <w:qFormat/>
    <w:rsid w:val="00EB0F42"/>
    <w:pPr>
      <w:widowControl w:val="0"/>
      <w:spacing w:after="0" w:line="240" w:lineRule="auto"/>
      <w:jc w:val="both"/>
    </w:pPr>
    <w:rPr>
      <w:rFonts w:ascii="Times New Roman" w:eastAsia="Times New Roman" w:hAnsi="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94</TotalTime>
  <Pages>3</Pages>
  <Words>659</Words>
  <Characters>3762</Characters>
  <Application>Microsoft Office Word</Application>
  <DocSecurity>0</DocSecurity>
  <Lines>31</Lines>
  <Paragraphs>8</Paragraphs>
  <ScaleCrop>false</ScaleCrop>
  <Company/>
  <LinksUpToDate>false</LinksUpToDate>
  <CharactersWithSpaces>4413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junyu li</dc:creator>
  <cp:keywords/>
  <dc:description/>
  <cp:lastModifiedBy>junyu li</cp:lastModifiedBy>
  <cp:revision>6</cp:revision>
  <dcterms:created xsi:type="dcterms:W3CDTF">2026-03-02T11:37:00Z</dcterms:created>
  <dcterms:modified xsi:type="dcterms:W3CDTF">2026-09-07T14:06:00Z</dcterms:modified>
</cp:coreProperties>
</file>