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11E4" w14:textId="6DF6D60C" w:rsidR="00400CA4" w:rsidRDefault="00000000">
      <w:pPr>
        <w:spacing w:after="120" w:line="360" w:lineRule="auto"/>
        <w:jc w:val="center"/>
      </w:pPr>
      <w:r>
        <w:rPr>
          <w:rFonts w:eastAsia="Times New Roman"/>
          <w:b/>
          <w:bCs/>
          <w:sz w:val="24"/>
          <w:szCs w:val="24"/>
        </w:rPr>
        <w:t xml:space="preserve">Appendix E. Adversarial security </w:t>
      </w:r>
      <w:r w:rsidR="00D811BC">
        <w:rPr>
          <w:rFonts w:hint="eastAsia"/>
          <w:b/>
          <w:bCs/>
          <w:sz w:val="24"/>
          <w:szCs w:val="24"/>
        </w:rPr>
        <w:t xml:space="preserve">and governance risk </w:t>
      </w:r>
      <w:r>
        <w:rPr>
          <w:rFonts w:eastAsia="Times New Roman"/>
          <w:b/>
          <w:bCs/>
          <w:sz w:val="24"/>
          <w:szCs w:val="24"/>
        </w:rPr>
        <w:t>analysis</w:t>
      </w:r>
    </w:p>
    <w:p w14:paraId="06821439" w14:textId="77777777" w:rsidR="00400CA4" w:rsidRDefault="00000000">
      <w:pPr>
        <w:spacing w:before="240" w:after="120" w:line="360" w:lineRule="auto"/>
      </w:pPr>
      <w:r>
        <w:rPr>
          <w:rFonts w:eastAsia="Times New Roman"/>
          <w:b/>
          <w:bCs/>
          <w:sz w:val="24"/>
          <w:szCs w:val="24"/>
        </w:rPr>
        <w:t>E.1 Motivation and scope</w:t>
      </w:r>
    </w:p>
    <w:p w14:paraId="474E919E" w14:textId="77777777" w:rsidR="00400CA4" w:rsidRDefault="00000000">
      <w:pPr>
        <w:spacing w:line="480" w:lineRule="auto"/>
        <w:ind w:firstLine="440"/>
        <w:jc w:val="both"/>
      </w:pPr>
      <w:r>
        <w:rPr>
          <w:rFonts w:eastAsia="Times New Roman"/>
        </w:rPr>
        <w:t>The main text describes the framework's security primitives in qualitative terms, and Appendix C derives an economic cost-of-attack inequality for the oracle layer. To complement these treatments with systematic adversarial evidence, this appendix provides a pre-deployment, design-time security evaluation along three coordinated axes: a formal threat model that enumerates attack vectors against each architectural component, closed-form economic bounds that extend the Appendix C cost-of-attack formula into bribery-resistance, collusion-resistance, and stake-adequacy statements, and an empirical adversarial simulation that quantifies the framework's robustness under adaptive attacker and colluding oracle scenarios.</w:t>
      </w:r>
    </w:p>
    <w:p w14:paraId="2C353C1B" w14:textId="77777777" w:rsidR="00400CA4" w:rsidRDefault="00000000">
      <w:pPr>
        <w:spacing w:line="480" w:lineRule="auto"/>
        <w:ind w:firstLine="440"/>
        <w:jc w:val="both"/>
      </w:pPr>
      <w:r>
        <w:rPr>
          <w:rFonts w:eastAsia="Times New Roman"/>
        </w:rPr>
        <w:t>Full production-grade penetration testing requires deployment at commercial scale and external third-party engagement, both of which are reserved for the pilot phase outlined in the Future Work discussion. The analyses reported below are not a substitute for that empirical security validation; they are the design-time foundation against which the pilot's red-team exercises and audit findings will be benchmarked.</w:t>
      </w:r>
    </w:p>
    <w:p w14:paraId="114FAC42" w14:textId="77777777" w:rsidR="00400CA4" w:rsidRDefault="00000000">
      <w:pPr>
        <w:spacing w:before="240" w:after="120" w:line="360" w:lineRule="auto"/>
      </w:pPr>
      <w:r>
        <w:rPr>
          <w:rFonts w:eastAsia="Times New Roman"/>
          <w:b/>
          <w:bCs/>
          <w:sz w:val="24"/>
          <w:szCs w:val="24"/>
        </w:rPr>
        <w:t>E.2 Threat model</w:t>
      </w:r>
    </w:p>
    <w:p w14:paraId="3890084A" w14:textId="77777777" w:rsidR="00400CA4" w:rsidRDefault="00000000">
      <w:pPr>
        <w:spacing w:line="480" w:lineRule="auto"/>
        <w:ind w:firstLine="440"/>
        <w:jc w:val="both"/>
      </w:pPr>
      <w:r>
        <w:rPr>
          <w:rFonts w:eastAsia="Times New Roman"/>
        </w:rPr>
        <w:t>The threat enumeration combines the STRIDE classification used in distributed systems security with the Decentralized Application Security Project (DASP) top ten list for smart contract specific risks. Table E1 maps each STRIDE category to the framework component most exposed to that threat, identifies a concrete attack vector, and documents the design control that mitigates the threat. Table E2 maps the DASP top ten smart contract risks to the framework's implementation decisions.</w:t>
      </w:r>
    </w:p>
    <w:p w14:paraId="089ACE16" w14:textId="77777777" w:rsidR="00400CA4" w:rsidRDefault="00000000">
      <w:pPr>
        <w:spacing w:after="120" w:line="360" w:lineRule="auto"/>
        <w:jc w:val="center"/>
        <w:rPr>
          <w:sz w:val="20"/>
          <w:szCs w:val="20"/>
        </w:rPr>
      </w:pPr>
      <w:r>
        <w:rPr>
          <w:rFonts w:eastAsia="Times New Roman"/>
          <w:sz w:val="20"/>
          <w:szCs w:val="20"/>
        </w:rPr>
        <w:t>Table E1. STRIDE-based threat enumeration and mitigation</w:t>
      </w:r>
    </w:p>
    <w:tbl>
      <w:tblPr>
        <w:tblStyle w:val="211"/>
        <w:tblW w:w="5000" w:type="pct"/>
        <w:tblLook w:val="0420" w:firstRow="1" w:lastRow="0" w:firstColumn="0" w:lastColumn="0" w:noHBand="0" w:noVBand="1"/>
      </w:tblPr>
      <w:tblGrid>
        <w:gridCol w:w="1460"/>
        <w:gridCol w:w="2591"/>
        <w:gridCol w:w="1687"/>
        <w:gridCol w:w="3622"/>
      </w:tblGrid>
      <w:tr w:rsidR="006E6AF7" w:rsidRPr="006E6AF7" w14:paraId="484C4D10" w14:textId="77777777" w:rsidTr="00DD05F9">
        <w:trPr>
          <w:cnfStyle w:val="100000000000" w:firstRow="1" w:lastRow="0" w:firstColumn="0" w:lastColumn="0" w:oddVBand="0" w:evenVBand="0" w:oddHBand="0" w:evenHBand="0" w:firstRowFirstColumn="0" w:firstRowLastColumn="0" w:lastRowFirstColumn="0" w:lastRowLastColumn="0"/>
        </w:trPr>
        <w:tc>
          <w:tcPr>
            <w:tcW w:w="780" w:type="pct"/>
          </w:tcPr>
          <w:p w14:paraId="7834B251"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STRIDE category</w:t>
            </w:r>
          </w:p>
        </w:tc>
        <w:tc>
          <w:tcPr>
            <w:tcW w:w="1384" w:type="pct"/>
          </w:tcPr>
          <w:p w14:paraId="18A9C517"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Attack vector</w:t>
            </w:r>
          </w:p>
        </w:tc>
        <w:tc>
          <w:tcPr>
            <w:tcW w:w="901" w:type="pct"/>
          </w:tcPr>
          <w:p w14:paraId="43FAD0E8"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Affected component</w:t>
            </w:r>
          </w:p>
        </w:tc>
        <w:tc>
          <w:tcPr>
            <w:tcW w:w="1935" w:type="pct"/>
          </w:tcPr>
          <w:p w14:paraId="082D2E0D" w14:textId="77777777" w:rsidR="006E6AF7" w:rsidRPr="006E6AF7" w:rsidRDefault="006E6AF7" w:rsidP="006E6AF7">
            <w:pPr>
              <w:spacing w:line="280" w:lineRule="auto"/>
              <w:jc w:val="center"/>
              <w:rPr>
                <w:rFonts w:eastAsia="等线"/>
                <w:sz w:val="22"/>
                <w:szCs w:val="22"/>
              </w:rPr>
            </w:pPr>
            <w:r w:rsidRPr="006E6AF7">
              <w:rPr>
                <w:rFonts w:eastAsia="Times New Roman"/>
                <w:sz w:val="18"/>
                <w:szCs w:val="18"/>
              </w:rPr>
              <w:t>Design control</w:t>
            </w:r>
          </w:p>
        </w:tc>
      </w:tr>
      <w:tr w:rsidR="006E6AF7" w:rsidRPr="006E6AF7" w14:paraId="5CBBF91E" w14:textId="77777777" w:rsidTr="00DD05F9">
        <w:tc>
          <w:tcPr>
            <w:tcW w:w="780" w:type="pct"/>
          </w:tcPr>
          <w:p w14:paraId="32353C53" w14:textId="77777777" w:rsidR="006E6AF7" w:rsidRPr="006E6AF7" w:rsidRDefault="006E6AF7" w:rsidP="006E6AF7">
            <w:pPr>
              <w:spacing w:line="280" w:lineRule="auto"/>
              <w:rPr>
                <w:rFonts w:eastAsia="等线"/>
                <w:sz w:val="22"/>
                <w:szCs w:val="22"/>
              </w:rPr>
            </w:pPr>
            <w:r w:rsidRPr="006E6AF7">
              <w:rPr>
                <w:rFonts w:eastAsia="Times New Roman"/>
                <w:sz w:val="18"/>
                <w:szCs w:val="18"/>
              </w:rPr>
              <w:t>Spoofing</w:t>
            </w:r>
          </w:p>
        </w:tc>
        <w:tc>
          <w:tcPr>
            <w:tcW w:w="1384" w:type="pct"/>
          </w:tcPr>
          <w:p w14:paraId="3F580A01" w14:textId="77777777" w:rsidR="006E6AF7" w:rsidRPr="006E6AF7" w:rsidRDefault="006E6AF7" w:rsidP="006E6AF7">
            <w:pPr>
              <w:spacing w:line="280" w:lineRule="auto"/>
              <w:rPr>
                <w:rFonts w:eastAsia="等线"/>
                <w:sz w:val="22"/>
                <w:szCs w:val="22"/>
              </w:rPr>
            </w:pPr>
            <w:r w:rsidRPr="006E6AF7">
              <w:rPr>
                <w:rFonts w:eastAsia="Times New Roman"/>
                <w:sz w:val="18"/>
                <w:szCs w:val="18"/>
              </w:rPr>
              <w:t>Forged oracle attestation, sensor or node impersonation</w:t>
            </w:r>
          </w:p>
        </w:tc>
        <w:tc>
          <w:tcPr>
            <w:tcW w:w="901" w:type="pct"/>
          </w:tcPr>
          <w:p w14:paraId="2F8497A4" w14:textId="77777777" w:rsidR="006E6AF7" w:rsidRPr="006E6AF7" w:rsidRDefault="006E6AF7" w:rsidP="006E6AF7">
            <w:pPr>
              <w:spacing w:line="280" w:lineRule="auto"/>
              <w:rPr>
                <w:rFonts w:eastAsia="等线"/>
                <w:sz w:val="22"/>
                <w:szCs w:val="22"/>
              </w:rPr>
            </w:pPr>
            <w:r w:rsidRPr="006E6AF7">
              <w:rPr>
                <w:rFonts w:eastAsia="Times New Roman"/>
                <w:sz w:val="18"/>
                <w:szCs w:val="18"/>
              </w:rPr>
              <w:t>Oracle layer</w:t>
            </w:r>
          </w:p>
        </w:tc>
        <w:tc>
          <w:tcPr>
            <w:tcW w:w="1935" w:type="pct"/>
          </w:tcPr>
          <w:p w14:paraId="0CBA28CD" w14:textId="77777777" w:rsidR="006E6AF7" w:rsidRPr="006E6AF7" w:rsidRDefault="006E6AF7" w:rsidP="006E6AF7">
            <w:pPr>
              <w:spacing w:line="280" w:lineRule="auto"/>
              <w:rPr>
                <w:rFonts w:eastAsia="等线"/>
                <w:sz w:val="22"/>
                <w:szCs w:val="22"/>
              </w:rPr>
            </w:pPr>
            <w:r w:rsidRPr="006E6AF7">
              <w:rPr>
                <w:rFonts w:eastAsia="Times New Roman"/>
                <w:sz w:val="18"/>
                <w:szCs w:val="18"/>
              </w:rPr>
              <w:t>k-of-n threshold signing with staked identities; cryptographic node enrollment</w:t>
            </w:r>
          </w:p>
        </w:tc>
      </w:tr>
      <w:tr w:rsidR="006E6AF7" w:rsidRPr="006E6AF7" w14:paraId="443D4984" w14:textId="77777777" w:rsidTr="00DD05F9">
        <w:tc>
          <w:tcPr>
            <w:tcW w:w="780" w:type="pct"/>
          </w:tcPr>
          <w:p w14:paraId="3250DA07" w14:textId="77777777" w:rsidR="006E6AF7" w:rsidRPr="006E6AF7" w:rsidRDefault="006E6AF7" w:rsidP="006E6AF7">
            <w:pPr>
              <w:spacing w:line="280" w:lineRule="auto"/>
              <w:rPr>
                <w:rFonts w:eastAsia="等线"/>
                <w:sz w:val="22"/>
                <w:szCs w:val="22"/>
              </w:rPr>
            </w:pPr>
            <w:r w:rsidRPr="006E6AF7">
              <w:rPr>
                <w:rFonts w:eastAsia="Times New Roman"/>
                <w:sz w:val="18"/>
                <w:szCs w:val="18"/>
              </w:rPr>
              <w:t>Tampering</w:t>
            </w:r>
          </w:p>
        </w:tc>
        <w:tc>
          <w:tcPr>
            <w:tcW w:w="1384" w:type="pct"/>
          </w:tcPr>
          <w:p w14:paraId="62C9081F" w14:textId="77777777" w:rsidR="006E6AF7" w:rsidRPr="006E6AF7" w:rsidRDefault="006E6AF7" w:rsidP="006E6AF7">
            <w:pPr>
              <w:spacing w:line="280" w:lineRule="auto"/>
              <w:rPr>
                <w:rFonts w:eastAsia="等线"/>
                <w:sz w:val="22"/>
                <w:szCs w:val="22"/>
              </w:rPr>
            </w:pPr>
            <w:r w:rsidRPr="006E6AF7">
              <w:rPr>
                <w:rFonts w:eastAsia="Times New Roman"/>
                <w:sz w:val="18"/>
                <w:szCs w:val="18"/>
              </w:rPr>
              <w:t>Post-hoc modification of quality records or audit log</w:t>
            </w:r>
          </w:p>
        </w:tc>
        <w:tc>
          <w:tcPr>
            <w:tcW w:w="901" w:type="pct"/>
          </w:tcPr>
          <w:p w14:paraId="55497556" w14:textId="77777777" w:rsidR="006E6AF7" w:rsidRPr="006E6AF7" w:rsidRDefault="006E6AF7" w:rsidP="006E6AF7">
            <w:pPr>
              <w:spacing w:line="280" w:lineRule="auto"/>
              <w:rPr>
                <w:rFonts w:eastAsia="等线"/>
                <w:sz w:val="22"/>
                <w:szCs w:val="22"/>
              </w:rPr>
            </w:pPr>
            <w:r w:rsidRPr="006E6AF7">
              <w:rPr>
                <w:rFonts w:eastAsia="Times New Roman"/>
                <w:sz w:val="18"/>
                <w:szCs w:val="18"/>
              </w:rPr>
              <w:t>Smart contract, off-chain storage</w:t>
            </w:r>
          </w:p>
        </w:tc>
        <w:tc>
          <w:tcPr>
            <w:tcW w:w="1935" w:type="pct"/>
          </w:tcPr>
          <w:p w14:paraId="7E27498B" w14:textId="77777777" w:rsidR="006E6AF7" w:rsidRPr="006E6AF7" w:rsidRDefault="006E6AF7" w:rsidP="006E6AF7">
            <w:pPr>
              <w:spacing w:line="280" w:lineRule="auto"/>
              <w:rPr>
                <w:rFonts w:eastAsia="等线"/>
                <w:sz w:val="22"/>
                <w:szCs w:val="22"/>
              </w:rPr>
            </w:pPr>
            <w:r w:rsidRPr="006E6AF7">
              <w:rPr>
                <w:rFonts w:eastAsia="Times New Roman"/>
                <w:sz w:val="18"/>
                <w:szCs w:val="18"/>
              </w:rPr>
              <w:t>Immutable on-chain hash anchor over content-addressed off-chain blob; Merkle proof verification</w:t>
            </w:r>
          </w:p>
        </w:tc>
      </w:tr>
      <w:tr w:rsidR="006E6AF7" w:rsidRPr="006E6AF7" w14:paraId="4F96AB14" w14:textId="77777777" w:rsidTr="00DD05F9">
        <w:tc>
          <w:tcPr>
            <w:tcW w:w="780" w:type="pct"/>
          </w:tcPr>
          <w:p w14:paraId="7E3A15B4" w14:textId="77777777" w:rsidR="006E6AF7" w:rsidRPr="006E6AF7" w:rsidRDefault="006E6AF7" w:rsidP="006E6AF7">
            <w:pPr>
              <w:spacing w:line="280" w:lineRule="auto"/>
              <w:rPr>
                <w:rFonts w:eastAsia="等线"/>
                <w:sz w:val="22"/>
                <w:szCs w:val="22"/>
              </w:rPr>
            </w:pPr>
            <w:r w:rsidRPr="006E6AF7">
              <w:rPr>
                <w:rFonts w:eastAsia="Times New Roman"/>
                <w:sz w:val="18"/>
                <w:szCs w:val="18"/>
              </w:rPr>
              <w:t>Repudiation</w:t>
            </w:r>
          </w:p>
        </w:tc>
        <w:tc>
          <w:tcPr>
            <w:tcW w:w="1384" w:type="pct"/>
          </w:tcPr>
          <w:p w14:paraId="155FA8E8" w14:textId="77777777" w:rsidR="006E6AF7" w:rsidRPr="006E6AF7" w:rsidRDefault="006E6AF7" w:rsidP="006E6AF7">
            <w:pPr>
              <w:spacing w:line="280" w:lineRule="auto"/>
              <w:rPr>
                <w:rFonts w:eastAsia="等线"/>
                <w:sz w:val="22"/>
                <w:szCs w:val="22"/>
              </w:rPr>
            </w:pPr>
            <w:r w:rsidRPr="006E6AF7">
              <w:rPr>
                <w:rFonts w:eastAsia="Times New Roman"/>
                <w:sz w:val="18"/>
                <w:szCs w:val="18"/>
              </w:rPr>
              <w:t>Producer or inspector denies having submitted an attestation</w:t>
            </w:r>
          </w:p>
        </w:tc>
        <w:tc>
          <w:tcPr>
            <w:tcW w:w="901" w:type="pct"/>
          </w:tcPr>
          <w:p w14:paraId="11DF9258" w14:textId="77777777" w:rsidR="006E6AF7" w:rsidRPr="006E6AF7" w:rsidRDefault="006E6AF7" w:rsidP="006E6AF7">
            <w:pPr>
              <w:spacing w:line="280" w:lineRule="auto"/>
              <w:rPr>
                <w:rFonts w:eastAsia="等线"/>
                <w:sz w:val="22"/>
                <w:szCs w:val="22"/>
              </w:rPr>
            </w:pPr>
            <w:r w:rsidRPr="006E6AF7">
              <w:rPr>
                <w:rFonts w:eastAsia="Times New Roman"/>
                <w:sz w:val="18"/>
                <w:szCs w:val="18"/>
              </w:rPr>
              <w:t>Smart contract</w:t>
            </w:r>
          </w:p>
        </w:tc>
        <w:tc>
          <w:tcPr>
            <w:tcW w:w="1935" w:type="pct"/>
          </w:tcPr>
          <w:p w14:paraId="48FDE713" w14:textId="77777777" w:rsidR="006E6AF7" w:rsidRPr="006E6AF7" w:rsidRDefault="006E6AF7" w:rsidP="006E6AF7">
            <w:pPr>
              <w:spacing w:line="280" w:lineRule="auto"/>
              <w:rPr>
                <w:rFonts w:eastAsia="等线"/>
                <w:sz w:val="22"/>
                <w:szCs w:val="22"/>
              </w:rPr>
            </w:pPr>
            <w:r w:rsidRPr="006E6AF7">
              <w:rPr>
                <w:rFonts w:eastAsia="Times New Roman"/>
                <w:sz w:val="18"/>
                <w:szCs w:val="18"/>
              </w:rPr>
              <w:t>Non-repudiable signed transactions with persistent on-chain provenance</w:t>
            </w:r>
          </w:p>
        </w:tc>
      </w:tr>
      <w:tr w:rsidR="006E6AF7" w:rsidRPr="006E6AF7" w14:paraId="73E20B3F" w14:textId="77777777" w:rsidTr="00DD05F9">
        <w:tc>
          <w:tcPr>
            <w:tcW w:w="780" w:type="pct"/>
          </w:tcPr>
          <w:p w14:paraId="622DFCAC" w14:textId="77777777" w:rsidR="006E6AF7" w:rsidRPr="006E6AF7" w:rsidRDefault="006E6AF7" w:rsidP="006E6AF7">
            <w:pPr>
              <w:spacing w:line="280" w:lineRule="auto"/>
              <w:rPr>
                <w:rFonts w:eastAsia="等线"/>
                <w:sz w:val="22"/>
                <w:szCs w:val="22"/>
              </w:rPr>
            </w:pPr>
            <w:r w:rsidRPr="006E6AF7">
              <w:rPr>
                <w:rFonts w:eastAsia="Times New Roman"/>
                <w:sz w:val="18"/>
                <w:szCs w:val="18"/>
              </w:rPr>
              <w:lastRenderedPageBreak/>
              <w:t>Information disclosure</w:t>
            </w:r>
          </w:p>
        </w:tc>
        <w:tc>
          <w:tcPr>
            <w:tcW w:w="1384" w:type="pct"/>
          </w:tcPr>
          <w:p w14:paraId="19434D98" w14:textId="77777777" w:rsidR="006E6AF7" w:rsidRPr="006E6AF7" w:rsidRDefault="006E6AF7" w:rsidP="006E6AF7">
            <w:pPr>
              <w:spacing w:line="280" w:lineRule="auto"/>
              <w:rPr>
                <w:rFonts w:eastAsia="等线"/>
                <w:sz w:val="22"/>
                <w:szCs w:val="22"/>
              </w:rPr>
            </w:pPr>
            <w:r w:rsidRPr="006E6AF7">
              <w:rPr>
                <w:rFonts w:eastAsia="Times New Roman"/>
                <w:sz w:val="18"/>
                <w:szCs w:val="18"/>
              </w:rPr>
              <w:t>Leakage of confidential mix designs or commercial terms</w:t>
            </w:r>
          </w:p>
        </w:tc>
        <w:tc>
          <w:tcPr>
            <w:tcW w:w="901" w:type="pct"/>
          </w:tcPr>
          <w:p w14:paraId="46048467" w14:textId="77777777" w:rsidR="006E6AF7" w:rsidRPr="006E6AF7" w:rsidRDefault="006E6AF7" w:rsidP="006E6AF7">
            <w:pPr>
              <w:spacing w:line="280" w:lineRule="auto"/>
              <w:rPr>
                <w:rFonts w:eastAsia="等线"/>
                <w:sz w:val="22"/>
                <w:szCs w:val="22"/>
              </w:rPr>
            </w:pPr>
            <w:r w:rsidRPr="006E6AF7">
              <w:rPr>
                <w:rFonts w:eastAsia="Times New Roman"/>
                <w:sz w:val="18"/>
                <w:szCs w:val="18"/>
              </w:rPr>
              <w:t>Off-chain storage</w:t>
            </w:r>
          </w:p>
        </w:tc>
        <w:tc>
          <w:tcPr>
            <w:tcW w:w="1935" w:type="pct"/>
          </w:tcPr>
          <w:p w14:paraId="3658487F" w14:textId="77777777" w:rsidR="006E6AF7" w:rsidRPr="006E6AF7" w:rsidRDefault="006E6AF7" w:rsidP="006E6AF7">
            <w:pPr>
              <w:spacing w:line="280" w:lineRule="auto"/>
              <w:rPr>
                <w:rFonts w:eastAsia="等线"/>
                <w:sz w:val="22"/>
                <w:szCs w:val="22"/>
              </w:rPr>
            </w:pPr>
            <w:r w:rsidRPr="006E6AF7">
              <w:rPr>
                <w:rFonts w:eastAsia="Times New Roman"/>
                <w:sz w:val="18"/>
                <w:szCs w:val="18"/>
              </w:rPr>
              <w:t>Selective disclosure with on-chain hash commitments; no plaintext business data on-chain</w:t>
            </w:r>
          </w:p>
        </w:tc>
      </w:tr>
      <w:tr w:rsidR="006E6AF7" w:rsidRPr="006E6AF7" w14:paraId="38F58B10" w14:textId="77777777" w:rsidTr="00DD05F9">
        <w:tc>
          <w:tcPr>
            <w:tcW w:w="780" w:type="pct"/>
          </w:tcPr>
          <w:p w14:paraId="41D66B4B" w14:textId="77777777" w:rsidR="006E6AF7" w:rsidRPr="006E6AF7" w:rsidRDefault="006E6AF7" w:rsidP="006E6AF7">
            <w:pPr>
              <w:spacing w:line="280" w:lineRule="auto"/>
              <w:rPr>
                <w:rFonts w:eastAsia="等线"/>
                <w:sz w:val="22"/>
                <w:szCs w:val="22"/>
              </w:rPr>
            </w:pPr>
            <w:r w:rsidRPr="006E6AF7">
              <w:rPr>
                <w:rFonts w:eastAsia="Times New Roman"/>
                <w:sz w:val="18"/>
                <w:szCs w:val="18"/>
              </w:rPr>
              <w:t>Denial of service</w:t>
            </w:r>
          </w:p>
        </w:tc>
        <w:tc>
          <w:tcPr>
            <w:tcW w:w="1384" w:type="pct"/>
          </w:tcPr>
          <w:p w14:paraId="59DEFC61" w14:textId="77777777" w:rsidR="006E6AF7" w:rsidRPr="006E6AF7" w:rsidRDefault="006E6AF7" w:rsidP="006E6AF7">
            <w:pPr>
              <w:spacing w:line="280" w:lineRule="auto"/>
              <w:rPr>
                <w:rFonts w:eastAsia="等线"/>
                <w:sz w:val="22"/>
                <w:szCs w:val="22"/>
              </w:rPr>
            </w:pPr>
            <w:r w:rsidRPr="006E6AF7">
              <w:rPr>
                <w:rFonts w:eastAsia="Times New Roman"/>
                <w:sz w:val="18"/>
                <w:szCs w:val="18"/>
              </w:rPr>
              <w:t>Resource exhaustion against oracle network or chain throughput</w:t>
            </w:r>
          </w:p>
        </w:tc>
        <w:tc>
          <w:tcPr>
            <w:tcW w:w="901" w:type="pct"/>
          </w:tcPr>
          <w:p w14:paraId="5A84F0CD" w14:textId="77777777" w:rsidR="006E6AF7" w:rsidRPr="006E6AF7" w:rsidRDefault="006E6AF7" w:rsidP="006E6AF7">
            <w:pPr>
              <w:spacing w:line="280" w:lineRule="auto"/>
              <w:rPr>
                <w:rFonts w:eastAsia="等线"/>
                <w:sz w:val="22"/>
                <w:szCs w:val="22"/>
              </w:rPr>
            </w:pPr>
            <w:r w:rsidRPr="006E6AF7">
              <w:rPr>
                <w:rFonts w:eastAsia="Times New Roman"/>
                <w:sz w:val="18"/>
                <w:szCs w:val="18"/>
              </w:rPr>
              <w:t>Oracle layer, consortium chain</w:t>
            </w:r>
          </w:p>
        </w:tc>
        <w:tc>
          <w:tcPr>
            <w:tcW w:w="1935" w:type="pct"/>
          </w:tcPr>
          <w:p w14:paraId="3916C0F7" w14:textId="77777777" w:rsidR="006E6AF7" w:rsidRPr="006E6AF7" w:rsidRDefault="006E6AF7" w:rsidP="006E6AF7">
            <w:pPr>
              <w:spacing w:line="280" w:lineRule="auto"/>
              <w:rPr>
                <w:rFonts w:eastAsia="等线"/>
                <w:sz w:val="22"/>
                <w:szCs w:val="22"/>
              </w:rPr>
            </w:pPr>
            <w:r w:rsidRPr="006E6AF7">
              <w:rPr>
                <w:rFonts w:eastAsia="Times New Roman"/>
                <w:sz w:val="18"/>
                <w:szCs w:val="18"/>
              </w:rPr>
              <w:t>Multi-oracle redundancy; gas-bound execution paths; rate limiting via permissioned access</w:t>
            </w:r>
          </w:p>
        </w:tc>
      </w:tr>
      <w:tr w:rsidR="006E6AF7" w:rsidRPr="006E6AF7" w14:paraId="49077F47" w14:textId="77777777" w:rsidTr="00DD05F9">
        <w:tc>
          <w:tcPr>
            <w:tcW w:w="780" w:type="pct"/>
          </w:tcPr>
          <w:p w14:paraId="3EE4BBA8" w14:textId="77777777" w:rsidR="006E6AF7" w:rsidRPr="006E6AF7" w:rsidRDefault="006E6AF7" w:rsidP="006E6AF7">
            <w:pPr>
              <w:spacing w:line="280" w:lineRule="auto"/>
              <w:rPr>
                <w:rFonts w:eastAsia="等线"/>
                <w:sz w:val="22"/>
                <w:szCs w:val="22"/>
              </w:rPr>
            </w:pPr>
            <w:r w:rsidRPr="006E6AF7">
              <w:rPr>
                <w:rFonts w:eastAsia="Times New Roman"/>
                <w:sz w:val="18"/>
                <w:szCs w:val="18"/>
              </w:rPr>
              <w:t>Elevation of privilege</w:t>
            </w:r>
          </w:p>
        </w:tc>
        <w:tc>
          <w:tcPr>
            <w:tcW w:w="1384" w:type="pct"/>
          </w:tcPr>
          <w:p w14:paraId="67FFE383" w14:textId="77777777" w:rsidR="006E6AF7" w:rsidRPr="006E6AF7" w:rsidRDefault="006E6AF7" w:rsidP="006E6AF7">
            <w:pPr>
              <w:spacing w:line="280" w:lineRule="auto"/>
              <w:rPr>
                <w:rFonts w:eastAsia="等线"/>
                <w:sz w:val="22"/>
                <w:szCs w:val="22"/>
              </w:rPr>
            </w:pPr>
            <w:r w:rsidRPr="006E6AF7">
              <w:rPr>
                <w:rFonts w:eastAsia="Times New Roman"/>
                <w:sz w:val="18"/>
                <w:szCs w:val="18"/>
              </w:rPr>
              <w:t>Unauthorized contract upgrade or admin role takeover</w:t>
            </w:r>
          </w:p>
        </w:tc>
        <w:tc>
          <w:tcPr>
            <w:tcW w:w="901" w:type="pct"/>
          </w:tcPr>
          <w:p w14:paraId="5EC7FD5E" w14:textId="77777777" w:rsidR="006E6AF7" w:rsidRPr="006E6AF7" w:rsidRDefault="006E6AF7" w:rsidP="006E6AF7">
            <w:pPr>
              <w:spacing w:line="280" w:lineRule="auto"/>
              <w:rPr>
                <w:rFonts w:eastAsia="等线"/>
                <w:sz w:val="22"/>
                <w:szCs w:val="22"/>
              </w:rPr>
            </w:pPr>
            <w:r w:rsidRPr="006E6AF7">
              <w:rPr>
                <w:rFonts w:eastAsia="Times New Roman"/>
                <w:sz w:val="18"/>
                <w:szCs w:val="18"/>
              </w:rPr>
              <w:t>Smart contract</w:t>
            </w:r>
          </w:p>
        </w:tc>
        <w:tc>
          <w:tcPr>
            <w:tcW w:w="1935" w:type="pct"/>
          </w:tcPr>
          <w:p w14:paraId="394FE4C0" w14:textId="77777777" w:rsidR="006E6AF7" w:rsidRPr="006E6AF7" w:rsidRDefault="006E6AF7" w:rsidP="006E6AF7">
            <w:pPr>
              <w:spacing w:line="280" w:lineRule="auto"/>
              <w:rPr>
                <w:rFonts w:eastAsia="等线"/>
                <w:sz w:val="22"/>
                <w:szCs w:val="22"/>
              </w:rPr>
            </w:pPr>
            <w:r w:rsidRPr="006E6AF7">
              <w:rPr>
                <w:rFonts w:eastAsia="Times New Roman"/>
                <w:sz w:val="18"/>
                <w:szCs w:val="18"/>
              </w:rPr>
              <w:t>Multi-signature governance for upgrades; time-locked deployment; role-based access modifiers</w:t>
            </w:r>
          </w:p>
        </w:tc>
      </w:tr>
    </w:tbl>
    <w:p w14:paraId="331DC96D" w14:textId="77777777" w:rsidR="00400CA4" w:rsidRDefault="00000000">
      <w:pPr>
        <w:spacing w:after="120" w:line="360" w:lineRule="auto"/>
        <w:jc w:val="center"/>
        <w:rPr>
          <w:sz w:val="20"/>
          <w:szCs w:val="20"/>
        </w:rPr>
      </w:pPr>
      <w:r>
        <w:rPr>
          <w:rFonts w:eastAsia="Times New Roman"/>
          <w:sz w:val="20"/>
          <w:szCs w:val="20"/>
        </w:rPr>
        <w:t>Table E2. DASP top ten smart contract risk coverage</w:t>
      </w:r>
    </w:p>
    <w:tbl>
      <w:tblPr>
        <w:tblStyle w:val="211"/>
        <w:tblW w:w="0" w:type="auto"/>
        <w:tblLook w:val="0000" w:firstRow="0" w:lastRow="0" w:firstColumn="0" w:lastColumn="0" w:noHBand="0" w:noVBand="0"/>
      </w:tblPr>
      <w:tblGrid>
        <w:gridCol w:w="2511"/>
        <w:gridCol w:w="6455"/>
      </w:tblGrid>
      <w:tr w:rsidR="006E6AF7" w:rsidRPr="006E6AF7" w14:paraId="1A0E604D" w14:textId="77777777" w:rsidTr="006E6AF7">
        <w:tc>
          <w:tcPr>
            <w:tcW w:w="0" w:type="auto"/>
          </w:tcPr>
          <w:p w14:paraId="1C4FF363" w14:textId="77777777" w:rsidR="006E6AF7" w:rsidRPr="006E6AF7" w:rsidRDefault="006E6AF7" w:rsidP="006E6AF7">
            <w:pPr>
              <w:spacing w:line="360" w:lineRule="auto"/>
              <w:jc w:val="center"/>
              <w:rPr>
                <w:rFonts w:eastAsia="等线"/>
                <w:sz w:val="22"/>
                <w:szCs w:val="22"/>
              </w:rPr>
            </w:pPr>
            <w:r w:rsidRPr="006E6AF7">
              <w:rPr>
                <w:rFonts w:eastAsia="Times New Roman"/>
                <w:b/>
                <w:bCs/>
                <w:sz w:val="18"/>
                <w:szCs w:val="18"/>
              </w:rPr>
              <w:t>DASP top ten risk</w:t>
            </w:r>
          </w:p>
        </w:tc>
        <w:tc>
          <w:tcPr>
            <w:tcW w:w="0" w:type="auto"/>
          </w:tcPr>
          <w:p w14:paraId="4238D9F5" w14:textId="77777777" w:rsidR="006E6AF7" w:rsidRPr="006E6AF7" w:rsidRDefault="006E6AF7" w:rsidP="006E6AF7">
            <w:pPr>
              <w:spacing w:line="360" w:lineRule="auto"/>
              <w:jc w:val="center"/>
              <w:rPr>
                <w:rFonts w:eastAsia="等线"/>
                <w:sz w:val="22"/>
                <w:szCs w:val="22"/>
              </w:rPr>
            </w:pPr>
            <w:r w:rsidRPr="006E6AF7">
              <w:rPr>
                <w:rFonts w:eastAsia="Times New Roman"/>
                <w:b/>
                <w:bCs/>
                <w:sz w:val="18"/>
                <w:szCs w:val="18"/>
              </w:rPr>
              <w:t>Coverage in the framework</w:t>
            </w:r>
          </w:p>
        </w:tc>
      </w:tr>
      <w:tr w:rsidR="006E6AF7" w:rsidRPr="006E6AF7" w14:paraId="34FEC9D1" w14:textId="77777777" w:rsidTr="006E6AF7">
        <w:tc>
          <w:tcPr>
            <w:tcW w:w="0" w:type="auto"/>
          </w:tcPr>
          <w:p w14:paraId="34912AB6"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Reentrancy</w:t>
            </w:r>
          </w:p>
        </w:tc>
        <w:tc>
          <w:tcPr>
            <w:tcW w:w="0" w:type="auto"/>
          </w:tcPr>
          <w:p w14:paraId="40205F8F"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Checks-effects-interactions pattern; no external calls before state updates</w:t>
            </w:r>
          </w:p>
        </w:tc>
      </w:tr>
      <w:tr w:rsidR="006E6AF7" w:rsidRPr="006E6AF7" w14:paraId="5F32EEE8" w14:textId="77777777" w:rsidTr="006E6AF7">
        <w:tc>
          <w:tcPr>
            <w:tcW w:w="0" w:type="auto"/>
          </w:tcPr>
          <w:p w14:paraId="2D911ABD"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Access control</w:t>
            </w:r>
          </w:p>
        </w:tc>
        <w:tc>
          <w:tcPr>
            <w:tcW w:w="0" w:type="auto"/>
          </w:tcPr>
          <w:p w14:paraId="32BB86E6"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Role-based modifiers; multi-signature for privileged operations</w:t>
            </w:r>
          </w:p>
        </w:tc>
      </w:tr>
      <w:tr w:rsidR="006E6AF7" w:rsidRPr="006E6AF7" w14:paraId="705D33F6" w14:textId="77777777" w:rsidTr="006E6AF7">
        <w:tc>
          <w:tcPr>
            <w:tcW w:w="0" w:type="auto"/>
          </w:tcPr>
          <w:p w14:paraId="400433D1"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Arithmetic over- and underflow</w:t>
            </w:r>
          </w:p>
        </w:tc>
        <w:tc>
          <w:tcPr>
            <w:tcW w:w="0" w:type="auto"/>
          </w:tcPr>
          <w:p w14:paraId="7C44A43A"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Solidity 0.8+ checked arithmetic; explicit bounds for cost and stake variables</w:t>
            </w:r>
          </w:p>
        </w:tc>
      </w:tr>
      <w:tr w:rsidR="006E6AF7" w:rsidRPr="006E6AF7" w14:paraId="4CF6C700" w14:textId="77777777" w:rsidTr="006E6AF7">
        <w:tc>
          <w:tcPr>
            <w:tcW w:w="0" w:type="auto"/>
          </w:tcPr>
          <w:p w14:paraId="429F5DFA"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Unchecked low-level calls</w:t>
            </w:r>
          </w:p>
        </w:tc>
        <w:tc>
          <w:tcPr>
            <w:tcW w:w="0" w:type="auto"/>
          </w:tcPr>
          <w:p w14:paraId="76E5122A"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 xml:space="preserve">Return values verified for all call, </w:t>
            </w:r>
            <w:proofErr w:type="spellStart"/>
            <w:r w:rsidRPr="006E6AF7">
              <w:rPr>
                <w:rFonts w:eastAsia="Times New Roman"/>
                <w:sz w:val="18"/>
                <w:szCs w:val="18"/>
              </w:rPr>
              <w:t>delegatecall</w:t>
            </w:r>
            <w:proofErr w:type="spellEnd"/>
            <w:r w:rsidRPr="006E6AF7">
              <w:rPr>
                <w:rFonts w:eastAsia="Times New Roman"/>
                <w:sz w:val="18"/>
                <w:szCs w:val="18"/>
              </w:rPr>
              <w:t>, send, transfer operations</w:t>
            </w:r>
          </w:p>
        </w:tc>
      </w:tr>
      <w:tr w:rsidR="006E6AF7" w:rsidRPr="006E6AF7" w14:paraId="0609F38E" w14:textId="77777777" w:rsidTr="006E6AF7">
        <w:tc>
          <w:tcPr>
            <w:tcW w:w="0" w:type="auto"/>
          </w:tcPr>
          <w:p w14:paraId="323D1AA6"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Denial of service</w:t>
            </w:r>
          </w:p>
        </w:tc>
        <w:tc>
          <w:tcPr>
            <w:tcW w:w="0" w:type="auto"/>
          </w:tcPr>
          <w:p w14:paraId="6D342F5D"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Pull payment pattern; gas-bound loops; per-call cost ceilings</w:t>
            </w:r>
          </w:p>
        </w:tc>
      </w:tr>
      <w:tr w:rsidR="006E6AF7" w:rsidRPr="006E6AF7" w14:paraId="6019D2A9" w14:textId="77777777" w:rsidTr="006E6AF7">
        <w:tc>
          <w:tcPr>
            <w:tcW w:w="0" w:type="auto"/>
          </w:tcPr>
          <w:p w14:paraId="46D1504C"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Bad randomness</w:t>
            </w:r>
          </w:p>
        </w:tc>
        <w:tc>
          <w:tcPr>
            <w:tcW w:w="0" w:type="auto"/>
          </w:tcPr>
          <w:p w14:paraId="670258E9"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Not used; quality verification is deterministic over signed measurements</w:t>
            </w:r>
          </w:p>
        </w:tc>
      </w:tr>
      <w:tr w:rsidR="006E6AF7" w:rsidRPr="006E6AF7" w14:paraId="4C5F860A" w14:textId="77777777" w:rsidTr="006E6AF7">
        <w:tc>
          <w:tcPr>
            <w:tcW w:w="0" w:type="auto"/>
          </w:tcPr>
          <w:p w14:paraId="59B38C70"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Front-running</w:t>
            </w:r>
          </w:p>
        </w:tc>
        <w:tc>
          <w:tcPr>
            <w:tcW w:w="0" w:type="auto"/>
          </w:tcPr>
          <w:p w14:paraId="581F85DE"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Commit-reveal scheme for oracle attestations; signature-bound submission ordering</w:t>
            </w:r>
          </w:p>
        </w:tc>
      </w:tr>
      <w:tr w:rsidR="006E6AF7" w:rsidRPr="006E6AF7" w14:paraId="03E55E14" w14:textId="77777777" w:rsidTr="006E6AF7">
        <w:tc>
          <w:tcPr>
            <w:tcW w:w="0" w:type="auto"/>
          </w:tcPr>
          <w:p w14:paraId="07A61929"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Time manipulation</w:t>
            </w:r>
          </w:p>
        </w:tc>
        <w:tc>
          <w:tcPr>
            <w:tcW w:w="0" w:type="auto"/>
          </w:tcPr>
          <w:p w14:paraId="0A1FE01D"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Tolerance bands on block timestamps; verification windows expressed in block counts</w:t>
            </w:r>
          </w:p>
        </w:tc>
      </w:tr>
      <w:tr w:rsidR="006E6AF7" w:rsidRPr="006E6AF7" w14:paraId="6B1169F1" w14:textId="77777777" w:rsidTr="006E6AF7">
        <w:tc>
          <w:tcPr>
            <w:tcW w:w="0" w:type="auto"/>
          </w:tcPr>
          <w:p w14:paraId="1156D8D2"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Short address attack</w:t>
            </w:r>
          </w:p>
        </w:tc>
        <w:tc>
          <w:tcPr>
            <w:tcW w:w="0" w:type="auto"/>
          </w:tcPr>
          <w:p w14:paraId="4BC8A291"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Input length validation in all externally exposed functions</w:t>
            </w:r>
          </w:p>
        </w:tc>
      </w:tr>
      <w:tr w:rsidR="006E6AF7" w:rsidRPr="006E6AF7" w14:paraId="097B47AF" w14:textId="77777777" w:rsidTr="006E6AF7">
        <w:tc>
          <w:tcPr>
            <w:tcW w:w="0" w:type="auto"/>
          </w:tcPr>
          <w:p w14:paraId="161A3784"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Unknown unknowns</w:t>
            </w:r>
          </w:p>
        </w:tc>
        <w:tc>
          <w:tcPr>
            <w:tcW w:w="0" w:type="auto"/>
          </w:tcPr>
          <w:p w14:paraId="06D08B43" w14:textId="77777777" w:rsidR="006E6AF7" w:rsidRPr="006E6AF7" w:rsidRDefault="006E6AF7" w:rsidP="006E6AF7">
            <w:pPr>
              <w:spacing w:line="360" w:lineRule="auto"/>
              <w:rPr>
                <w:rFonts w:eastAsia="Times New Roman"/>
                <w:sz w:val="18"/>
                <w:szCs w:val="18"/>
              </w:rPr>
            </w:pPr>
            <w:r w:rsidRPr="006E6AF7">
              <w:rPr>
                <w:rFonts w:eastAsia="Times New Roman"/>
                <w:sz w:val="18"/>
                <w:szCs w:val="18"/>
              </w:rPr>
              <w:t>Third-party audit before pilot; staged deployment; bug bounty post-pilot</w:t>
            </w:r>
          </w:p>
        </w:tc>
      </w:tr>
    </w:tbl>
    <w:p w14:paraId="1344593F" w14:textId="77777777" w:rsidR="006E6AF7" w:rsidRPr="006E6AF7" w:rsidRDefault="006E6AF7">
      <w:pPr>
        <w:spacing w:after="120" w:line="360" w:lineRule="auto"/>
        <w:jc w:val="center"/>
      </w:pPr>
    </w:p>
    <w:p w14:paraId="1C503593" w14:textId="77777777" w:rsidR="00400CA4" w:rsidRDefault="00000000">
      <w:pPr>
        <w:spacing w:before="240" w:after="120" w:line="360" w:lineRule="auto"/>
      </w:pPr>
      <w:r>
        <w:rPr>
          <w:rFonts w:eastAsia="Times New Roman"/>
          <w:b/>
          <w:bCs/>
          <w:sz w:val="24"/>
          <w:szCs w:val="24"/>
        </w:rPr>
        <w:t>E.3 Economic security bounds</w:t>
      </w:r>
    </w:p>
    <w:p w14:paraId="4C2416B4" w14:textId="53511CE1" w:rsidR="00400CA4" w:rsidRDefault="00000000">
      <w:pPr>
        <w:spacing w:line="480" w:lineRule="auto"/>
        <w:ind w:firstLine="440"/>
        <w:jc w:val="both"/>
      </w:pPr>
      <w:r>
        <w:rPr>
          <w:rFonts w:eastAsia="Times New Roman"/>
        </w:rPr>
        <w:t xml:space="preserve">Building on the cost-of-attack formula in Appendix C, three closed-form bounds capture the framework's adversarial economic security. Let </w:t>
      </w:r>
      <w:proofErr w:type="spellStart"/>
      <w:r>
        <w:rPr>
          <w:rFonts w:eastAsia="Times New Roman"/>
        </w:rPr>
        <w:t>m</w:t>
      </w:r>
      <w:proofErr w:type="spellEnd"/>
      <w:r>
        <w:rPr>
          <w:rFonts w:eastAsia="Times New Roman"/>
        </w:rPr>
        <w:t xml:space="preserve"> denote the corruption threshold of the m-of-n oracle quorum, B the bribe per colluding node, S the </w:t>
      </w:r>
      <w:proofErr w:type="spellStart"/>
      <w:r>
        <w:rPr>
          <w:rFonts w:eastAsia="Times New Roman"/>
        </w:rPr>
        <w:t>slashable</w:t>
      </w:r>
      <w:proofErr w:type="spellEnd"/>
      <w:r>
        <w:rPr>
          <w:rFonts w:eastAsia="Times New Roman"/>
        </w:rPr>
        <w:t xml:space="preserve"> stake per node, and G the attacker </w:t>
      </w:r>
      <w:proofErr w:type="gramStart"/>
      <w:r>
        <w:rPr>
          <w:rFonts w:eastAsia="Times New Roman"/>
        </w:rPr>
        <w:t>gain</w:t>
      </w:r>
      <w:proofErr w:type="gramEnd"/>
      <w:r>
        <w:rPr>
          <w:rFonts w:eastAsia="Times New Roman"/>
        </w:rPr>
        <w:t xml:space="preserve"> from a successful corrupted attestation. The cost-of-attack inequality requires </w:t>
      </w:r>
      <m:oMath>
        <m:r>
          <w:rPr>
            <w:rFonts w:ascii="Cambria Math" w:eastAsia="Times New Roman" w:hAnsi="Cambria Math"/>
          </w:rPr>
          <m:t>CoA = m</m:t>
        </m:r>
        <m:d>
          <m:dPr>
            <m:ctrlPr>
              <w:rPr>
                <w:rFonts w:ascii="Cambria Math" w:eastAsia="Times New Roman" w:hAnsi="Cambria Math"/>
                <w:i/>
              </w:rPr>
            </m:ctrlPr>
          </m:dPr>
          <m:e>
            <m:r>
              <w:rPr>
                <w:rFonts w:ascii="Cambria Math" w:eastAsia="Times New Roman" w:hAnsi="Cambria Math"/>
              </w:rPr>
              <m:t>B + S</m:t>
            </m:r>
          </m:e>
        </m:d>
        <m:r>
          <w:rPr>
            <w:rFonts w:ascii="Cambria Math" w:eastAsia="Times New Roman" w:hAnsi="Cambria Math"/>
          </w:rPr>
          <m:t>≥ G</m:t>
        </m:r>
      </m:oMath>
      <w:r>
        <w:rPr>
          <w:rFonts w:eastAsia="Times New Roman"/>
        </w:rPr>
        <w:t>.</w:t>
      </w:r>
    </w:p>
    <w:p w14:paraId="1F87CA1D" w14:textId="67087544" w:rsidR="00400CA4" w:rsidRDefault="00000000">
      <w:pPr>
        <w:spacing w:line="480" w:lineRule="auto"/>
        <w:ind w:firstLine="440"/>
        <w:jc w:val="both"/>
      </w:pPr>
      <w:r>
        <w:rPr>
          <w:rFonts w:eastAsia="Times New Roman"/>
        </w:rPr>
        <w:t xml:space="preserve">Bribery resistance. Under the credible assumption that an honest minority detects and reports collusion with non-trivial probability, the minimum stake adequate to deter bribery satisfies </w:t>
      </w:r>
      <m:oMath>
        <m:sSup>
          <m:sSupPr>
            <m:ctrlPr>
              <w:rPr>
                <w:rFonts w:ascii="Cambria Math" w:hAnsi="Cambria Math"/>
                <w:i/>
              </w:rPr>
            </m:ctrlPr>
          </m:sSupPr>
          <m:e>
            <m:r>
              <w:rPr>
                <w:rFonts w:ascii="Cambria Math" w:eastAsia="Times New Roman" w:hAnsi="Cambria Math"/>
              </w:rPr>
              <m:t>S</m:t>
            </m:r>
            <m:ctrlPr>
              <w:rPr>
                <w:rFonts w:ascii="Cambria Math" w:eastAsia="Times New Roman" w:hAnsi="Cambria Math"/>
                <w:i/>
              </w:rPr>
            </m:ctrlPr>
          </m:e>
          <m:sup>
            <m:r>
              <w:rPr>
                <w:rFonts w:ascii="Cambria Math" w:hAnsi="Cambria Math"/>
              </w:rPr>
              <m:t>*</m:t>
            </m:r>
          </m:sup>
        </m:sSup>
        <m:r>
          <w:rPr>
            <w:rFonts w:ascii="Cambria Math" w:eastAsia="Times New Roman" w:hAnsi="Cambria Math"/>
          </w:rPr>
          <m:t>&gt;=</m:t>
        </m:r>
        <m:f>
          <m:fPr>
            <m:ctrlPr>
              <w:rPr>
                <w:rFonts w:ascii="Cambria Math" w:eastAsia="Times New Roman" w:hAnsi="Cambria Math"/>
                <w:i/>
              </w:rPr>
            </m:ctrlPr>
          </m:fPr>
          <m:num>
            <m:r>
              <w:rPr>
                <w:rFonts w:ascii="Cambria Math" w:eastAsia="Times New Roman" w:hAnsi="Cambria Math"/>
              </w:rPr>
              <m:t>G</m:t>
            </m:r>
          </m:num>
          <m:den>
            <m:r>
              <w:rPr>
                <w:rFonts w:ascii="Cambria Math" w:eastAsia="Times New Roman" w:hAnsi="Cambria Math"/>
              </w:rPr>
              <m:t>m</m:t>
            </m:r>
          </m:den>
        </m:f>
        <m:r>
          <w:rPr>
            <w:rFonts w:ascii="Cambria Math" w:eastAsia="Times New Roman" w:hAnsi="Cambria Math"/>
          </w:rPr>
          <m:t>-B</m:t>
        </m:r>
      </m:oMath>
      <w:r>
        <w:rPr>
          <w:rFonts w:eastAsia="Times New Roman"/>
        </w:rPr>
        <w:t>, where the term G/m measures the corruption rent per colluding node and B compensates the participation cost. The framework's design therefore makes S* the operational tuning knob for security against bribery.</w:t>
      </w:r>
    </w:p>
    <w:p w14:paraId="37618264" w14:textId="5D54F84D" w:rsidR="00400CA4" w:rsidRDefault="00000000">
      <w:pPr>
        <w:spacing w:line="480" w:lineRule="auto"/>
        <w:ind w:firstLine="440"/>
        <w:jc w:val="both"/>
      </w:pPr>
      <w:r>
        <w:rPr>
          <w:rFonts w:eastAsia="Times New Roman"/>
        </w:rPr>
        <w:t xml:space="preserve">Collusion resistance. For an adversary attempting to corrupt the m-of-n quorum through independent compromise of individual nodes, the probability of quorum corruption follows the binomial tail </w:t>
      </w:r>
      <m:oMath>
        <m:r>
          <w:rPr>
            <w:rFonts w:ascii="Cambria Math" w:eastAsia="Times New Roman" w:hAnsi="Cambria Math"/>
          </w:rPr>
          <m:t>Pr</m:t>
        </m:r>
        <m:d>
          <m:dPr>
            <m:begChr m:val="["/>
            <m:endChr m:val="]"/>
            <m:ctrlPr>
              <w:rPr>
                <w:rFonts w:ascii="Cambria Math" w:eastAsia="Times New Roman" w:hAnsi="Cambria Math"/>
                <w:i/>
              </w:rPr>
            </m:ctrlPr>
          </m:dPr>
          <m:e>
            <m:r>
              <w:rPr>
                <w:rFonts w:ascii="Cambria Math" w:eastAsia="Times New Roman" w:hAnsi="Cambria Math"/>
              </w:rPr>
              <m:t>corruption</m:t>
            </m:r>
          </m:e>
        </m:d>
        <m:r>
          <w:rPr>
            <w:rFonts w:ascii="Cambria Math" w:eastAsia="Times New Roman" w:hAnsi="Cambria Math"/>
          </w:rPr>
          <m:t>=</m:t>
        </m:r>
        <m:nary>
          <m:naryPr>
            <m:chr m:val="∑"/>
            <m:limLoc m:val="subSup"/>
            <m:ctrlPr>
              <w:rPr>
                <w:rFonts w:ascii="Cambria Math" w:eastAsia="Times New Roman" w:hAnsi="Cambria Math"/>
                <w:i/>
              </w:rPr>
            </m:ctrlPr>
          </m:naryPr>
          <m:sub>
            <m:r>
              <w:rPr>
                <w:rFonts w:ascii="Cambria Math" w:eastAsia="Times New Roman" w:hAnsi="Cambria Math"/>
              </w:rPr>
              <m:t>k</m:t>
            </m:r>
            <m:r>
              <w:rPr>
                <w:rFonts w:ascii="Cambria Math" w:hAnsi="Cambria Math"/>
              </w:rPr>
              <m:t>=m</m:t>
            </m:r>
          </m:sub>
          <m:sup>
            <m:r>
              <w:rPr>
                <w:rFonts w:ascii="Cambria Math" w:eastAsia="Times New Roman" w:hAnsi="Cambria Math"/>
              </w:rPr>
              <m:t>n</m:t>
            </m:r>
          </m:sup>
          <m:e>
            <m:r>
              <w:rPr>
                <w:rFonts w:ascii="Cambria Math" w:eastAsia="Times New Roman" w:hAnsi="Cambria Math"/>
              </w:rPr>
              <m:t xml:space="preserve"> C</m:t>
            </m:r>
            <m:d>
              <m:dPr>
                <m:ctrlPr>
                  <w:rPr>
                    <w:rFonts w:ascii="Cambria Math" w:eastAsia="Times New Roman" w:hAnsi="Cambria Math"/>
                    <w:i/>
                  </w:rPr>
                </m:ctrlPr>
              </m:dPr>
              <m:e>
                <m:r>
                  <w:rPr>
                    <w:rFonts w:ascii="Cambria Math" w:eastAsia="Times New Roman" w:hAnsi="Cambria Math"/>
                  </w:rPr>
                  <m:t>n, k</m:t>
                </m:r>
              </m:e>
            </m:d>
            <m:sSubSup>
              <m:sSubSupPr>
                <m:ctrlPr>
                  <w:rPr>
                    <w:rFonts w:ascii="Cambria Math" w:eastAsia="Times New Roman" w:hAnsi="Cambria Math"/>
                    <w:i/>
                  </w:rPr>
                </m:ctrlPr>
              </m:sSubSupPr>
              <m:e>
                <m:r>
                  <w:rPr>
                    <w:rFonts w:ascii="Cambria Math" w:eastAsia="Times New Roman" w:hAnsi="Cambria Math"/>
                  </w:rPr>
                  <m:t>p</m:t>
                </m:r>
              </m:e>
              <m:sub>
                <m:r>
                  <w:rPr>
                    <w:rFonts w:ascii="Cambria Math" w:eastAsia="Times New Roman" w:hAnsi="Cambria Math"/>
                  </w:rPr>
                  <m:t>c</m:t>
                </m:r>
              </m:sub>
              <m:sup>
                <m:r>
                  <w:rPr>
                    <w:rFonts w:ascii="Cambria Math" w:eastAsia="Times New Roman" w:hAnsi="Cambria Math"/>
                  </w:rPr>
                  <m:t>k</m:t>
                </m:r>
              </m:sup>
            </m:sSubSup>
            <m:r>
              <w:rPr>
                <w:rFonts w:ascii="Cambria Math" w:eastAsia="Times New Roman" w:hAnsi="Cambria Math"/>
              </w:rPr>
              <m:t xml:space="preserve"> </m:t>
            </m:r>
            <m:sSup>
              <m:sSupPr>
                <m:ctrlPr>
                  <w:rPr>
                    <w:rFonts w:ascii="Cambria Math" w:eastAsia="Times New Roman" w:hAnsi="Cambria Math"/>
                    <w:i/>
                  </w:rPr>
                </m:ctrlPr>
              </m:sSupPr>
              <m:e>
                <m:d>
                  <m:dPr>
                    <m:ctrlPr>
                      <w:rPr>
                        <w:rFonts w:ascii="Cambria Math" w:eastAsia="Times New Roman" w:hAnsi="Cambria Math"/>
                        <w:i/>
                      </w:rPr>
                    </m:ctrlPr>
                  </m:dPr>
                  <m:e>
                    <m:r>
                      <w:rPr>
                        <w:rFonts w:ascii="Cambria Math" w:eastAsia="Times New Roman" w:hAnsi="Cambria Math"/>
                      </w:rPr>
                      <m:t xml:space="preserve">1 -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c</m:t>
                        </m:r>
                      </m:sub>
                    </m:sSub>
                  </m:e>
                </m:d>
              </m:e>
              <m:sup>
                <m:r>
                  <w:rPr>
                    <w:rFonts w:ascii="Cambria Math" w:eastAsia="Times New Roman" w:hAnsi="Cambria Math"/>
                  </w:rPr>
                  <m:t>n - k</m:t>
                </m:r>
              </m:sup>
            </m:sSup>
          </m:e>
        </m:nary>
      </m:oMath>
      <w:r>
        <w:rPr>
          <w:rFonts w:eastAsia="Times New Roman"/>
        </w:rPr>
        <w:t xml:space="preserve">, where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c</m:t>
            </m:r>
          </m:sub>
        </m:sSub>
      </m:oMath>
      <w:r w:rsidR="002B6D85">
        <w:rPr>
          <w:rFonts w:hint="eastAsia"/>
        </w:rPr>
        <w:t xml:space="preserve"> </w:t>
      </w:r>
      <w:r>
        <w:rPr>
          <w:rFonts w:eastAsia="Times New Roman"/>
        </w:rPr>
        <w:t xml:space="preserve">is the per-node compromise probability. </w:t>
      </w:r>
      <w:r>
        <w:rPr>
          <w:rFonts w:eastAsia="Times New Roman"/>
        </w:rPr>
        <w:lastRenderedPageBreak/>
        <w:t>The framework provides resistance both by increasing the quorum threshold m and by maintaining node independence through diverse stake holders, geographical distribution, and key isolation.</w:t>
      </w:r>
    </w:p>
    <w:p w14:paraId="32D41796" w14:textId="54191F57" w:rsidR="00400CA4" w:rsidRDefault="00000000">
      <w:pPr>
        <w:spacing w:line="480" w:lineRule="auto"/>
        <w:ind w:firstLine="440"/>
        <w:jc w:val="both"/>
      </w:pPr>
      <w:r>
        <w:rPr>
          <w:rFonts w:eastAsia="Times New Roman"/>
        </w:rPr>
        <w:t xml:space="preserve">Stake adequacy under consequence scaling. The attacker gain G scales with the consequence severity of the underlying batch lot, since corrupting an attestation enables substandard delivery whose downstream cost is a function of the failure consequence multiplier defined in Appendix D. Writing </w:t>
      </w:r>
      <m:oMath>
        <m:r>
          <w:rPr>
            <w:rFonts w:ascii="Cambria Math" w:eastAsia="Times New Roman" w:hAnsi="Cambria Math"/>
          </w:rPr>
          <m:t xml:space="preserve">G(mult) = N(g0 + </m:t>
        </m:r>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fail</m:t>
            </m:r>
          </m:sub>
        </m:sSub>
        <m:r>
          <w:rPr>
            <w:rFonts w:ascii="Cambria Math" w:hAnsi="Cambria Math"/>
          </w:rPr>
          <m:t>×</m:t>
        </m:r>
        <m:r>
          <w:rPr>
            <w:rFonts w:ascii="Cambria Math" w:eastAsia="Times New Roman" w:hAnsi="Cambria Math"/>
          </w:rPr>
          <m:t xml:space="preserve"> mult× c0)</m:t>
        </m:r>
      </m:oMath>
      <w:r>
        <w:rPr>
          <w:rFonts w:eastAsia="Times New Roman"/>
        </w:rPr>
        <w:t xml:space="preserve">, where N is the lot size, g0 the per-batch cost-saving gain, </w:t>
      </w:r>
      <m:oMath>
        <m:sSub>
          <m:sSubPr>
            <m:ctrlPr>
              <w:rPr>
                <w:rFonts w:ascii="Cambria Math" w:eastAsia="Times New Roman" w:hAnsi="Cambria Math"/>
                <w:i/>
              </w:rPr>
            </m:ctrlPr>
          </m:sSubPr>
          <m:e>
            <m:r>
              <w:rPr>
                <w:rFonts w:ascii="Cambria Math" w:eastAsia="Times New Roman" w:hAnsi="Cambria Math"/>
              </w:rPr>
              <m:t>p</m:t>
            </m:r>
          </m:e>
          <m:sub>
            <m:r>
              <w:rPr>
                <w:rFonts w:ascii="Cambria Math" w:eastAsia="Times New Roman" w:hAnsi="Cambria Math"/>
              </w:rPr>
              <m:t>fail</m:t>
            </m:r>
          </m:sub>
        </m:sSub>
      </m:oMath>
      <w:r w:rsidR="00455539">
        <w:rPr>
          <w:rFonts w:hint="eastAsia"/>
        </w:rPr>
        <w:t xml:space="preserve"> </w:t>
      </w:r>
      <w:r>
        <w:rPr>
          <w:rFonts w:eastAsia="Times New Roman"/>
        </w:rPr>
        <w:t xml:space="preserve">the latent failure probability, and c0 the direct-cost baseline, the stake-adequacy condition becomes </w:t>
      </w:r>
      <m:oMath>
        <m:sSup>
          <m:sSupPr>
            <m:ctrlPr>
              <w:rPr>
                <w:rFonts w:ascii="Cambria Math" w:eastAsia="Times New Roman" w:hAnsi="Cambria Math"/>
                <w:i/>
              </w:rPr>
            </m:ctrlPr>
          </m:sSupPr>
          <m:e>
            <m:r>
              <w:rPr>
                <w:rFonts w:ascii="Cambria Math" w:eastAsia="Times New Roman" w:hAnsi="Cambria Math"/>
              </w:rPr>
              <m:t>S</m:t>
            </m:r>
          </m:e>
          <m:sup>
            <m:r>
              <w:rPr>
                <w:rFonts w:ascii="Cambria Math" w:hAnsi="Cambria Math"/>
              </w:rPr>
              <m:t>*</m:t>
            </m:r>
          </m:sup>
        </m:sSup>
        <m:d>
          <m:dPr>
            <m:ctrlPr>
              <w:rPr>
                <w:rFonts w:ascii="Cambria Math" w:eastAsia="Times New Roman" w:hAnsi="Cambria Math"/>
                <w:i/>
              </w:rPr>
            </m:ctrlPr>
          </m:dPr>
          <m:e>
            <m:r>
              <w:rPr>
                <w:rFonts w:ascii="Cambria Math" w:eastAsia="Times New Roman" w:hAnsi="Cambria Math"/>
              </w:rPr>
              <m:t>mult</m:t>
            </m:r>
          </m:e>
        </m:d>
        <m:r>
          <w:rPr>
            <w:rFonts w:ascii="Cambria Math" w:eastAsia="Times New Roman" w:hAnsi="Cambria Math"/>
          </w:rPr>
          <m:t>≥G(mult)/m-B</m:t>
        </m:r>
      </m:oMath>
      <w:r>
        <w:rPr>
          <w:rFonts w:eastAsia="Times New Roman"/>
        </w:rPr>
        <w:t>. The required stake therefore grows linearly with the consequence multiplier, providing a transparent rule for parameterizing security to project risk.</w:t>
      </w:r>
    </w:p>
    <w:p w14:paraId="0D99A67E" w14:textId="77777777" w:rsidR="00400CA4" w:rsidRDefault="00000000">
      <w:pPr>
        <w:spacing w:before="240" w:after="120" w:line="360" w:lineRule="auto"/>
      </w:pPr>
      <w:r>
        <w:rPr>
          <w:rFonts w:eastAsia="Times New Roman"/>
          <w:b/>
          <w:bCs/>
          <w:sz w:val="24"/>
          <w:szCs w:val="24"/>
        </w:rPr>
        <w:t>E.4 Adversarial simulation results</w:t>
      </w:r>
    </w:p>
    <w:p w14:paraId="5A94F0CF" w14:textId="77777777" w:rsidR="00400CA4" w:rsidRDefault="00000000">
      <w:pPr>
        <w:spacing w:line="480" w:lineRule="auto"/>
        <w:ind w:firstLine="440"/>
        <w:jc w:val="both"/>
      </w:pPr>
      <w:r>
        <w:rPr>
          <w:rFonts w:eastAsia="Times New Roman"/>
        </w:rPr>
        <w:t xml:space="preserve">Fig. E1 reports three adversarial experiments executed on the same Monte Carlo harness used in Section 6.2, with 20,000 batches per scenario and a fixed random seed for reproducibility. Panel (a) tracks the adaptive attacker's net payoff per batch as a function of the oracle true positive rate beta under a conservative limited-liability regime in which the producer treats only contemporaneous detection at pre-delivery and at the 28-day stage as binding penalty events. Panel (b) reports the probability that an m-of-n threshold-signing quorum is corrupted under independent compromise of individual nodes. Panel (c) reports the minimum </w:t>
      </w:r>
      <w:proofErr w:type="spellStart"/>
      <w:r>
        <w:rPr>
          <w:rFonts w:eastAsia="Times New Roman"/>
        </w:rPr>
        <w:t>slashable</w:t>
      </w:r>
      <w:proofErr w:type="spellEnd"/>
      <w:r>
        <w:rPr>
          <w:rFonts w:eastAsia="Times New Roman"/>
        </w:rPr>
        <w:t xml:space="preserve"> stake per node required to keep the cost of attack above the attacker gain across consequence multipliers matching the Appendix D scaling.</w:t>
      </w:r>
    </w:p>
    <w:p w14:paraId="1EE72884" w14:textId="77777777" w:rsidR="00400CA4" w:rsidRDefault="00000000">
      <w:pPr>
        <w:spacing w:after="120"/>
        <w:jc w:val="center"/>
      </w:pPr>
      <w:r>
        <w:rPr>
          <w:noProof/>
        </w:rPr>
        <w:drawing>
          <wp:inline distT="0" distB="0" distL="0" distR="0" wp14:anchorId="7A73B0C1" wp14:editId="4350CE9B">
            <wp:extent cx="6096000" cy="1905000"/>
            <wp:effectExtent l="0" t="0" r="0" b="0"/>
            <wp:docPr id="1" name="fig_adversarial.png" descr="fig_adversarial.png" title="fig_adversa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1905000"/>
                    </a:xfrm>
                    <a:prstGeom prst="rect">
                      <a:avLst/>
                    </a:prstGeom>
                  </pic:spPr>
                </pic:pic>
              </a:graphicData>
            </a:graphic>
          </wp:inline>
        </w:drawing>
      </w:r>
    </w:p>
    <w:p w14:paraId="250A1856" w14:textId="77777777" w:rsidR="00400CA4" w:rsidRDefault="00000000">
      <w:pPr>
        <w:spacing w:after="120" w:line="360" w:lineRule="auto"/>
        <w:jc w:val="center"/>
      </w:pPr>
      <w:r>
        <w:rPr>
          <w:rFonts w:eastAsia="Times New Roman"/>
          <w:sz w:val="20"/>
          <w:szCs w:val="20"/>
        </w:rPr>
        <w:t xml:space="preserve">Fig. E1. Adversarial security analysis. Panel (a) adaptive attacker break-even oracle TPR. Panel (b) quorum </w:t>
      </w:r>
      <w:r>
        <w:rPr>
          <w:rFonts w:eastAsia="Times New Roman"/>
          <w:sz w:val="20"/>
          <w:szCs w:val="20"/>
        </w:rPr>
        <w:lastRenderedPageBreak/>
        <w:t>corruption probability. Panel (c) stake adequacy under consequence-scaled attacker gain.</w:t>
      </w:r>
    </w:p>
    <w:p w14:paraId="0F54608E" w14:textId="77777777" w:rsidR="00400CA4" w:rsidRDefault="00000000">
      <w:pPr>
        <w:spacing w:line="480" w:lineRule="auto"/>
        <w:ind w:firstLine="440"/>
        <w:jc w:val="both"/>
      </w:pPr>
      <w:r>
        <w:rPr>
          <w:rFonts w:eastAsia="Times New Roman"/>
        </w:rPr>
        <w:t xml:space="preserve">Three quantitative findings emerge. First, the break-even oracle true positive rate is beta* = 0.485, well below the baseline beta = 0.80 calibrated in Section 6.2. At the baseline operating </w:t>
      </w:r>
      <w:proofErr w:type="gramStart"/>
      <w:r>
        <w:rPr>
          <w:rFonts w:eastAsia="Times New Roman"/>
        </w:rPr>
        <w:t>point</w:t>
      </w:r>
      <w:proofErr w:type="gramEnd"/>
      <w:r>
        <w:rPr>
          <w:rFonts w:eastAsia="Times New Roman"/>
        </w:rPr>
        <w:t xml:space="preserve"> the attacker net payoff is approximately -1.83 cost units per batch, providing a robustness margin of roughly 65 percent above the deterrence threshold. Even under sustained oracle performance degradation, fraud remains unprofitable across most of the credible range.</w:t>
      </w:r>
    </w:p>
    <w:p w14:paraId="3308DBBD" w14:textId="77777777" w:rsidR="00400CA4" w:rsidRDefault="00000000">
      <w:pPr>
        <w:spacing w:line="480" w:lineRule="auto"/>
        <w:ind w:firstLine="440"/>
        <w:jc w:val="both"/>
      </w:pPr>
      <w:r>
        <w:rPr>
          <w:rFonts w:eastAsia="Times New Roman"/>
        </w:rPr>
        <w:t xml:space="preserve">Second, the binomial quorum analysis shows that for a per-node compromise probability of </w:t>
      </w:r>
      <w:proofErr w:type="spellStart"/>
      <w:r>
        <w:rPr>
          <w:rFonts w:eastAsia="Times New Roman"/>
        </w:rPr>
        <w:t>p_c</w:t>
      </w:r>
      <w:proofErr w:type="spellEnd"/>
      <w:r>
        <w:rPr>
          <w:rFonts w:eastAsia="Times New Roman"/>
        </w:rPr>
        <w:t xml:space="preserve"> = 0.20, the probability of quorum corruption is 5.79 percent for a 3-of-5 quorum, 3.33 percent for a 4-of-7 quorum, and 1.96 percent for a 5-of-9 quorum. Larger quorums substantially reduce corruption probability, with the gain increasing rapidly above the m/n = 0.6 threshold consistent with classical Byzantine fault tolerance bounds.</w:t>
      </w:r>
    </w:p>
    <w:p w14:paraId="75E2A551" w14:textId="77777777" w:rsidR="00400CA4" w:rsidRDefault="00000000">
      <w:pPr>
        <w:spacing w:line="480" w:lineRule="auto"/>
        <w:ind w:firstLine="440"/>
        <w:jc w:val="both"/>
      </w:pPr>
      <w:r>
        <w:rPr>
          <w:rFonts w:eastAsia="Times New Roman"/>
        </w:rPr>
        <w:t>Third, the stake-adequacy analysis quantifies the protective deposit needed to neutralize attacker incentive. For the representative scenario of N = 50 batches per attestation decision and a bribe of B = 50 cost units per node, the minimum stake per node at a consequence multiplier of one is approximately 1,267 cost units for a 3-of-5 quorum, rising to 9,367 cost units at a multiplier of ten and 18,817 at a multiplier of twenty. A 5-of-9 quorum reduces these stake requirements by approximately 40 percent for the same consequence multiplier, illustrating the economic value of quorum redundancy.</w:t>
      </w:r>
    </w:p>
    <w:p w14:paraId="12ED1575" w14:textId="77777777" w:rsidR="00400CA4" w:rsidRDefault="00000000">
      <w:pPr>
        <w:spacing w:before="240" w:after="120" w:line="360" w:lineRule="auto"/>
      </w:pPr>
      <w:r>
        <w:rPr>
          <w:rFonts w:eastAsia="Times New Roman"/>
          <w:b/>
          <w:bCs/>
          <w:sz w:val="24"/>
          <w:szCs w:val="24"/>
        </w:rPr>
        <w:t>E.5 Residual risks and pilot-phase audit roadmap</w:t>
      </w:r>
    </w:p>
    <w:p w14:paraId="2C5CD4E4" w14:textId="77777777" w:rsidR="00400CA4" w:rsidRDefault="00000000">
      <w:pPr>
        <w:spacing w:line="480" w:lineRule="auto"/>
        <w:ind w:firstLine="440"/>
        <w:jc w:val="both"/>
      </w:pPr>
      <w:r>
        <w:rPr>
          <w:rFonts w:eastAsia="Times New Roman"/>
        </w:rPr>
        <w:t>Three categories of residual risk are not addressable through design-time analysis alone. First, off-chain sensor integrity at the data-acquisition layer (firmware tampering, sensor substitution, calibration manipulation) lies outside the trust boundary established by the on-chain controls. Second, key management compromise of staked oracle node identities, including operational security failures by node operators, requires hardware-backed key storage and operational discipline that can only be validated under field conditions. Third, supply-chain attacks against the oracle software stack and the consortium chain client require continuous monitoring through reproducible builds, signed release pipelines, and external audit.</w:t>
      </w:r>
    </w:p>
    <w:p w14:paraId="005FE8D4" w14:textId="77777777" w:rsidR="00400CA4" w:rsidRDefault="00000000">
      <w:pPr>
        <w:spacing w:line="480" w:lineRule="auto"/>
        <w:ind w:firstLine="440"/>
        <w:jc w:val="both"/>
      </w:pPr>
      <w:r>
        <w:rPr>
          <w:rFonts w:eastAsia="Times New Roman"/>
        </w:rPr>
        <w:lastRenderedPageBreak/>
        <w:t>The framework's security validation plan therefore commits to three pilot-phase activities that complement the design-time analyses reported above. A third-party smart contract audit will be conducted before the pilot deployment, with audit scope defined to cover Tables E1 and E2 and the economic bounds in Section E.3. A red-team exercise will be commissioned during the pilot, with red-team objectives explicitly aligned to the adversarial scenarios simulated in Section E.4. A continuing bug bounty program will be operated post-pilot, with bounty severity tiers calibrated against the attacker gain function G(</w:t>
      </w:r>
      <w:proofErr w:type="spellStart"/>
      <w:r>
        <w:rPr>
          <w:rFonts w:eastAsia="Times New Roman"/>
        </w:rPr>
        <w:t>mult</w:t>
      </w:r>
      <w:proofErr w:type="spellEnd"/>
      <w:r>
        <w:rPr>
          <w:rFonts w:eastAsia="Times New Roman"/>
        </w:rPr>
        <w:t>) defined in Section E.3 so that monetary rewards scale with the security impact of the disclosed vulnerability. Together with the analytical and simulation evidence in this appendix, this validation plan provides a credible bridge from pre-deployment design assurance to production-grade security guarantees.</w:t>
      </w:r>
    </w:p>
    <w:p w14:paraId="6960D8A4" w14:textId="6489885A" w:rsidR="00D811BC" w:rsidRPr="00BF3599" w:rsidRDefault="00D811BC">
      <w:pPr>
        <w:spacing w:line="480" w:lineRule="auto"/>
        <w:ind w:firstLine="440"/>
        <w:jc w:val="both"/>
        <w:rPr>
          <w:b/>
          <w:bCs/>
          <w:sz w:val="24"/>
          <w:szCs w:val="24"/>
        </w:rPr>
      </w:pPr>
      <w:r>
        <w:rPr>
          <w:rFonts w:eastAsia="Times New Roman"/>
          <w:b/>
          <w:bCs/>
          <w:sz w:val="24"/>
          <w:szCs w:val="24"/>
        </w:rPr>
        <w:t>E.</w:t>
      </w:r>
      <w:r>
        <w:rPr>
          <w:rFonts w:hint="eastAsia"/>
          <w:b/>
          <w:bCs/>
          <w:sz w:val="24"/>
          <w:szCs w:val="24"/>
        </w:rPr>
        <w:t>6</w:t>
      </w:r>
      <w:r>
        <w:rPr>
          <w:rFonts w:eastAsia="Times New Roman"/>
          <w:b/>
          <w:bCs/>
          <w:sz w:val="24"/>
          <w:szCs w:val="24"/>
        </w:rPr>
        <w:t xml:space="preserve"> </w:t>
      </w:r>
      <w:r w:rsidRPr="00D811BC">
        <w:rPr>
          <w:rFonts w:eastAsia="Times New Roman"/>
          <w:b/>
          <w:bCs/>
          <w:sz w:val="24"/>
          <w:szCs w:val="24"/>
        </w:rPr>
        <w:t>Multi-stakeholder coordination risks and</w:t>
      </w:r>
      <w:r w:rsidR="00BF3599">
        <w:rPr>
          <w:rFonts w:hint="eastAsia"/>
          <w:b/>
          <w:bCs/>
          <w:sz w:val="24"/>
          <w:szCs w:val="24"/>
        </w:rPr>
        <w:t xml:space="preserve"> operational workflow </w:t>
      </w:r>
      <w:r w:rsidR="00BF3599">
        <w:rPr>
          <w:b/>
          <w:bCs/>
          <w:sz w:val="24"/>
          <w:szCs w:val="24"/>
        </w:rPr>
        <w:t>control</w:t>
      </w:r>
      <w:r w:rsidR="00BF3599">
        <w:rPr>
          <w:rFonts w:hint="eastAsia"/>
          <w:b/>
          <w:bCs/>
          <w:sz w:val="24"/>
          <w:szCs w:val="24"/>
        </w:rPr>
        <w:t>s</w:t>
      </w:r>
    </w:p>
    <w:p w14:paraId="2CE7B748" w14:textId="77777777" w:rsidR="00D811BC" w:rsidRPr="00D811BC" w:rsidRDefault="00D811BC" w:rsidP="00D811BC">
      <w:pPr>
        <w:spacing w:line="480" w:lineRule="auto"/>
        <w:ind w:firstLine="440"/>
        <w:jc w:val="both"/>
      </w:pPr>
      <w:r w:rsidRPr="00D811BC">
        <w:t>Multi-stakeholder coordination creates governance risks that extend beyond technical attacks. A participant may withhold commercially sensitive records, delay endorsement to avoid liability exposure, reject a transaction to shift responsibility, or use administrative authority to influence access and workflow progression. The governance design addresses these risks through minimum-data requirements, role-based access, reason-coded rejection, time-bounded response windows, and a predefined escalation procedure.</w:t>
      </w:r>
    </w:p>
    <w:p w14:paraId="152D509C" w14:textId="77777777" w:rsidR="00F71874" w:rsidRDefault="00F71874" w:rsidP="00D811BC">
      <w:pPr>
        <w:spacing w:line="480" w:lineRule="auto"/>
        <w:ind w:firstLine="440"/>
        <w:jc w:val="both"/>
      </w:pPr>
      <w:r w:rsidRPr="00F71874">
        <w:t>Effective implementation requires the participating organizations to agree on more than data access. The consortium agreement must distinguish custody of source records, mandatory disclosure, submission responsibility, transaction authority, and exception handling. Table E3 allocates these responsibilities across the principal RMC lifecycle events.</w:t>
      </w:r>
    </w:p>
    <w:p w14:paraId="77CCDB8D" w14:textId="4CD2745E" w:rsidR="005C75F7" w:rsidRPr="00D811BC" w:rsidRDefault="005C75F7" w:rsidP="00174BED">
      <w:pPr>
        <w:spacing w:line="480" w:lineRule="auto"/>
        <w:jc w:val="center"/>
      </w:pPr>
      <w:r>
        <w:rPr>
          <w:rFonts w:eastAsia="Times New Roman"/>
          <w:sz w:val="20"/>
          <w:szCs w:val="20"/>
        </w:rPr>
        <w:t>Table E</w:t>
      </w:r>
      <w:r>
        <w:rPr>
          <w:rFonts w:hint="eastAsia"/>
          <w:sz w:val="20"/>
          <w:szCs w:val="20"/>
        </w:rPr>
        <w:t>3</w:t>
      </w:r>
      <w:r>
        <w:rPr>
          <w:rFonts w:eastAsia="Times New Roman"/>
          <w:sz w:val="20"/>
          <w:szCs w:val="20"/>
        </w:rPr>
        <w:t xml:space="preserve">. </w:t>
      </w:r>
      <w:r w:rsidR="00F71874" w:rsidRPr="00F71874">
        <w:rPr>
          <w:rFonts w:eastAsia="Times New Roman"/>
          <w:sz w:val="20"/>
          <w:szCs w:val="20"/>
        </w:rPr>
        <w:t>Allocation of data responsibilities, decision rights, and exception handling across the RMC lifecycle</w:t>
      </w:r>
    </w:p>
    <w:tbl>
      <w:tblPr>
        <w:tblStyle w:val="211"/>
        <w:tblW w:w="5000" w:type="pct"/>
        <w:tblLook w:val="04A0" w:firstRow="1" w:lastRow="0" w:firstColumn="1" w:lastColumn="0" w:noHBand="0" w:noVBand="1"/>
      </w:tblPr>
      <w:tblGrid>
        <w:gridCol w:w="1292"/>
        <w:gridCol w:w="1992"/>
        <w:gridCol w:w="1696"/>
        <w:gridCol w:w="2160"/>
        <w:gridCol w:w="2220"/>
      </w:tblGrid>
      <w:tr w:rsidR="00D811BC" w:rsidRPr="00D811BC" w14:paraId="748187B6" w14:textId="77777777" w:rsidTr="00B433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0" w:type="pct"/>
            <w:hideMark/>
          </w:tcPr>
          <w:p w14:paraId="3FF39BC0"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t>Lifecycle event</w:t>
            </w:r>
          </w:p>
        </w:tc>
        <w:tc>
          <w:tcPr>
            <w:tcW w:w="1064" w:type="pct"/>
            <w:hideMark/>
          </w:tcPr>
          <w:p w14:paraId="7FAAEEBC" w14:textId="77777777" w:rsidR="00D811BC" w:rsidRPr="00D811BC" w:rsidRDefault="00D811BC" w:rsidP="00D811BC">
            <w:pPr>
              <w:spacing w:line="28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Source-record custody and mandatory disclosure</w:t>
            </w:r>
          </w:p>
        </w:tc>
        <w:tc>
          <w:tcPr>
            <w:tcW w:w="906" w:type="pct"/>
            <w:hideMark/>
          </w:tcPr>
          <w:p w14:paraId="5B95A844" w14:textId="77777777" w:rsidR="00D811BC" w:rsidRPr="00D811BC" w:rsidRDefault="00D811BC" w:rsidP="00D811BC">
            <w:pPr>
              <w:spacing w:line="28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Submission responsibility</w:t>
            </w:r>
          </w:p>
        </w:tc>
        <w:tc>
          <w:tcPr>
            <w:tcW w:w="1154" w:type="pct"/>
            <w:hideMark/>
          </w:tcPr>
          <w:p w14:paraId="17653037" w14:textId="77777777" w:rsidR="00D811BC" w:rsidRPr="00D811BC" w:rsidRDefault="00D811BC" w:rsidP="00D811BC">
            <w:pPr>
              <w:spacing w:line="28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Approval or rejection authority</w:t>
            </w:r>
          </w:p>
        </w:tc>
        <w:tc>
          <w:tcPr>
            <w:tcW w:w="1186" w:type="pct"/>
            <w:hideMark/>
          </w:tcPr>
          <w:p w14:paraId="1FF77CF5" w14:textId="77777777" w:rsidR="00D811BC" w:rsidRPr="00D811BC" w:rsidRDefault="00D811BC" w:rsidP="00D811BC">
            <w:pPr>
              <w:spacing w:line="280" w:lineRule="auto"/>
              <w:jc w:val="center"/>
              <w:cnfStyle w:val="100000000000" w:firstRow="1"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Exception and escalation</w:t>
            </w:r>
          </w:p>
        </w:tc>
      </w:tr>
      <w:tr w:rsidR="00D811BC" w:rsidRPr="00D811BC" w14:paraId="63472DC8" w14:textId="77777777" w:rsidTr="00B433DD">
        <w:tc>
          <w:tcPr>
            <w:cnfStyle w:val="001000000000" w:firstRow="0" w:lastRow="0" w:firstColumn="1" w:lastColumn="0" w:oddVBand="0" w:evenVBand="0" w:oddHBand="0" w:evenHBand="0" w:firstRowFirstColumn="0" w:firstRowLastColumn="0" w:lastRowFirstColumn="0" w:lastRowLastColumn="0"/>
            <w:tcW w:w="690" w:type="pct"/>
            <w:hideMark/>
          </w:tcPr>
          <w:p w14:paraId="2840409D"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t>Consortium setup</w:t>
            </w:r>
          </w:p>
        </w:tc>
        <w:tc>
          <w:tcPr>
            <w:tcW w:w="1064" w:type="pct"/>
            <w:hideMark/>
          </w:tcPr>
          <w:p w14:paraId="43FB854D"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Each organization retains its internal records; membership, identity, role, and permission metadata are shared</w:t>
            </w:r>
          </w:p>
        </w:tc>
        <w:tc>
          <w:tcPr>
            <w:tcW w:w="906" w:type="pct"/>
            <w:hideMark/>
          </w:tcPr>
          <w:p w14:paraId="2335B2A4"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Owner executes approved membership configuration</w:t>
            </w:r>
          </w:p>
        </w:tc>
        <w:tc>
          <w:tcPr>
            <w:tcW w:w="1154" w:type="pct"/>
            <w:hideMark/>
          </w:tcPr>
          <w:p w14:paraId="5E1304FC"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Admission and role changes follow the consortium agreement; regulators retain audit access</w:t>
            </w:r>
          </w:p>
        </w:tc>
        <w:tc>
          <w:tcPr>
            <w:tcW w:w="1186" w:type="pct"/>
            <w:hideMark/>
          </w:tcPr>
          <w:p w14:paraId="1AB3155C"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Disputed admission or permission changes are reviewed through the consortium governance procedure</w:t>
            </w:r>
          </w:p>
        </w:tc>
      </w:tr>
      <w:tr w:rsidR="00D811BC" w:rsidRPr="00D811BC" w14:paraId="63BFD452" w14:textId="77777777" w:rsidTr="00B433DD">
        <w:tc>
          <w:tcPr>
            <w:cnfStyle w:val="001000000000" w:firstRow="0" w:lastRow="0" w:firstColumn="1" w:lastColumn="0" w:oddVBand="0" w:evenVBand="0" w:oddHBand="0" w:evenHBand="0" w:firstRowFirstColumn="0" w:firstRowLastColumn="0" w:lastRowFirstColumn="0" w:lastRowLastColumn="0"/>
            <w:tcW w:w="690" w:type="pct"/>
            <w:hideMark/>
          </w:tcPr>
          <w:p w14:paraId="3CB436CF"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t xml:space="preserve">Material supply and </w:t>
            </w:r>
            <w:r w:rsidRPr="00D811BC">
              <w:rPr>
                <w:rFonts w:eastAsia="Times New Roman"/>
                <w:sz w:val="18"/>
                <w:szCs w:val="18"/>
              </w:rPr>
              <w:lastRenderedPageBreak/>
              <w:t>batch initiation</w:t>
            </w:r>
          </w:p>
        </w:tc>
        <w:tc>
          <w:tcPr>
            <w:tcW w:w="1064" w:type="pct"/>
            <w:hideMark/>
          </w:tcPr>
          <w:p w14:paraId="68A78547"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lastRenderedPageBreak/>
              <w:t xml:space="preserve">Suppliers retain certificates; the RMC </w:t>
            </w:r>
            <w:r w:rsidRPr="00D811BC">
              <w:rPr>
                <w:rFonts w:eastAsia="Times New Roman"/>
                <w:sz w:val="18"/>
                <w:szCs w:val="18"/>
              </w:rPr>
              <w:lastRenderedPageBreak/>
              <w:t>producer retains mix-design and batch-production files; required compliance attributes and hashes are shared</w:t>
            </w:r>
          </w:p>
        </w:tc>
        <w:tc>
          <w:tcPr>
            <w:tcW w:w="906" w:type="pct"/>
            <w:hideMark/>
          </w:tcPr>
          <w:p w14:paraId="7DB0EC13"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lastRenderedPageBreak/>
              <w:t xml:space="preserve">Supplier and RMC producer submit </w:t>
            </w:r>
            <w:r w:rsidRPr="00D811BC">
              <w:rPr>
                <w:rFonts w:eastAsia="Times New Roman"/>
                <w:sz w:val="18"/>
                <w:szCs w:val="18"/>
              </w:rPr>
              <w:lastRenderedPageBreak/>
              <w:t>records within their respective scopes</w:t>
            </w:r>
          </w:p>
        </w:tc>
        <w:tc>
          <w:tcPr>
            <w:tcW w:w="1154" w:type="pct"/>
            <w:hideMark/>
          </w:tcPr>
          <w:p w14:paraId="075D9BB4" w14:textId="0DF9B7E5" w:rsidR="00D811BC" w:rsidRPr="00B433DD"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heme="minorEastAsia" w:hint="eastAsia"/>
                <w:sz w:val="18"/>
                <w:szCs w:val="18"/>
              </w:rPr>
            </w:pPr>
            <w:r w:rsidRPr="00D811BC">
              <w:rPr>
                <w:rFonts w:eastAsia="Times New Roman"/>
                <w:sz w:val="18"/>
                <w:szCs w:val="18"/>
              </w:rPr>
              <w:lastRenderedPageBreak/>
              <w:t>Producer and sup</w:t>
            </w:r>
            <w:r w:rsidR="00B433DD">
              <w:rPr>
                <w:rFonts w:eastAsiaTheme="minorEastAsia" w:hint="eastAsia"/>
                <w:sz w:val="18"/>
                <w:szCs w:val="18"/>
              </w:rPr>
              <w:t>plier</w:t>
            </w:r>
            <w:r w:rsidRPr="00D811BC">
              <w:rPr>
                <w:rFonts w:eastAsia="Times New Roman"/>
                <w:sz w:val="18"/>
                <w:szCs w:val="18"/>
              </w:rPr>
              <w:t xml:space="preserve"> endorse </w:t>
            </w:r>
            <w:proofErr w:type="spellStart"/>
            <w:r w:rsidRPr="00D811BC">
              <w:rPr>
                <w:rFonts w:eastAsia="Times New Roman"/>
                <w:sz w:val="18"/>
                <w:szCs w:val="18"/>
              </w:rPr>
              <w:t>InitBatch</w:t>
            </w:r>
            <w:proofErr w:type="spellEnd"/>
          </w:p>
        </w:tc>
        <w:tc>
          <w:tcPr>
            <w:tcW w:w="1186" w:type="pct"/>
            <w:hideMark/>
          </w:tcPr>
          <w:p w14:paraId="2D2AF32D"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 xml:space="preserve">Missing or inconsistent evidence produces a </w:t>
            </w:r>
            <w:r w:rsidRPr="00D811BC">
              <w:rPr>
                <w:rFonts w:eastAsia="Times New Roman"/>
                <w:sz w:val="18"/>
                <w:szCs w:val="18"/>
              </w:rPr>
              <w:lastRenderedPageBreak/>
              <w:t>provisional status and may trigger correction, sampling, or third-party confirmation</w:t>
            </w:r>
          </w:p>
        </w:tc>
      </w:tr>
      <w:tr w:rsidR="00D811BC" w:rsidRPr="00D811BC" w14:paraId="4C15FD9C" w14:textId="77777777" w:rsidTr="00B433DD">
        <w:tc>
          <w:tcPr>
            <w:cnfStyle w:val="001000000000" w:firstRow="0" w:lastRow="0" w:firstColumn="1" w:lastColumn="0" w:oddVBand="0" w:evenVBand="0" w:oddHBand="0" w:evenHBand="0" w:firstRowFirstColumn="0" w:firstRowLastColumn="0" w:lastRowFirstColumn="0" w:lastRowLastColumn="0"/>
            <w:tcW w:w="690" w:type="pct"/>
            <w:hideMark/>
          </w:tcPr>
          <w:p w14:paraId="514138DC"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lastRenderedPageBreak/>
              <w:t>Logistics monitoring</w:t>
            </w:r>
          </w:p>
        </w:tc>
        <w:tc>
          <w:tcPr>
            <w:tcW w:w="1064" w:type="pct"/>
            <w:hideMark/>
          </w:tcPr>
          <w:p w14:paraId="4E2F3F6A"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The producer and registered device operator retain full telemetry; required time, location, temperature, and alert data are shared</w:t>
            </w:r>
          </w:p>
        </w:tc>
        <w:tc>
          <w:tcPr>
            <w:tcW w:w="906" w:type="pct"/>
            <w:hideMark/>
          </w:tcPr>
          <w:p w14:paraId="05A0AA24"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Registered oracle services or the producer submit authenticated updates</w:t>
            </w:r>
          </w:p>
        </w:tc>
        <w:tc>
          <w:tcPr>
            <w:tcW w:w="1154" w:type="pct"/>
            <w:hideMark/>
          </w:tcPr>
          <w:p w14:paraId="7FABD861"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 xml:space="preserve">Routine updates follow the </w:t>
            </w:r>
            <w:proofErr w:type="spellStart"/>
            <w:r w:rsidRPr="00D811BC">
              <w:rPr>
                <w:rFonts w:eastAsia="Times New Roman"/>
                <w:sz w:val="18"/>
                <w:szCs w:val="18"/>
              </w:rPr>
              <w:t>UpdateLogistics</w:t>
            </w:r>
            <w:proofErr w:type="spellEnd"/>
            <w:r w:rsidRPr="00D811BC">
              <w:rPr>
                <w:rFonts w:eastAsia="Times New Roman"/>
                <w:sz w:val="18"/>
                <w:szCs w:val="18"/>
              </w:rPr>
              <w:t xml:space="preserve"> policy; detected anomalies require review by responsible project actors</w:t>
            </w:r>
          </w:p>
        </w:tc>
        <w:tc>
          <w:tcPr>
            <w:tcW w:w="1186" w:type="pct"/>
            <w:hideMark/>
          </w:tcPr>
          <w:p w14:paraId="7E98EF01"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Unresolved anomalies remain visible and are carried into handover review</w:t>
            </w:r>
          </w:p>
        </w:tc>
      </w:tr>
      <w:tr w:rsidR="00D811BC" w:rsidRPr="00D811BC" w14:paraId="264AFF17" w14:textId="77777777" w:rsidTr="00B433DD">
        <w:tc>
          <w:tcPr>
            <w:cnfStyle w:val="001000000000" w:firstRow="0" w:lastRow="0" w:firstColumn="1" w:lastColumn="0" w:oddVBand="0" w:evenVBand="0" w:oddHBand="0" w:evenHBand="0" w:firstRowFirstColumn="0" w:firstRowLastColumn="0" w:lastRowFirstColumn="0" w:lastRowLastColumn="0"/>
            <w:tcW w:w="690" w:type="pct"/>
            <w:hideMark/>
          </w:tcPr>
          <w:p w14:paraId="02AF3A71"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t>Handover and placement</w:t>
            </w:r>
          </w:p>
        </w:tc>
        <w:tc>
          <w:tcPr>
            <w:tcW w:w="1064" w:type="pct"/>
            <w:hideMark/>
          </w:tcPr>
          <w:p w14:paraId="1761C2B1"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Producer and contractor retain their operational records; agreed arrival and acceptance attributes are shared</w:t>
            </w:r>
          </w:p>
        </w:tc>
        <w:tc>
          <w:tcPr>
            <w:tcW w:w="906" w:type="pct"/>
            <w:hideMark/>
          </w:tcPr>
          <w:p w14:paraId="1C76B847"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 xml:space="preserve">Producer initiates </w:t>
            </w:r>
            <w:proofErr w:type="spellStart"/>
            <w:r w:rsidRPr="00D811BC">
              <w:rPr>
                <w:rFonts w:eastAsia="Times New Roman"/>
                <w:sz w:val="18"/>
                <w:szCs w:val="18"/>
              </w:rPr>
              <w:t>HandoverBatch</w:t>
            </w:r>
            <w:proofErr w:type="spellEnd"/>
          </w:p>
        </w:tc>
        <w:tc>
          <w:tcPr>
            <w:tcW w:w="1154" w:type="pct"/>
            <w:hideMark/>
          </w:tcPr>
          <w:p w14:paraId="11883A36"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Contractor endorses or rejects; acceptance requires the specified joint endorsement</w:t>
            </w:r>
          </w:p>
        </w:tc>
        <w:tc>
          <w:tcPr>
            <w:tcW w:w="1186" w:type="pct"/>
            <w:hideMark/>
          </w:tcPr>
          <w:p w14:paraId="322DE8DC"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Rejection requires a reason code and supporting evidence; disputes escalate to the supervisor or owner’s authorized quality representative and, when necessary, independent testing</w:t>
            </w:r>
          </w:p>
        </w:tc>
      </w:tr>
      <w:tr w:rsidR="00D811BC" w:rsidRPr="00D811BC" w14:paraId="0B8AC54E" w14:textId="77777777" w:rsidTr="00B433DD">
        <w:tc>
          <w:tcPr>
            <w:cnfStyle w:val="001000000000" w:firstRow="0" w:lastRow="0" w:firstColumn="1" w:lastColumn="0" w:oddVBand="0" w:evenVBand="0" w:oddHBand="0" w:evenHBand="0" w:firstRowFirstColumn="0" w:firstRowLastColumn="0" w:lastRowFirstColumn="0" w:lastRowLastColumn="0"/>
            <w:tcW w:w="690" w:type="pct"/>
            <w:hideMark/>
          </w:tcPr>
          <w:p w14:paraId="2628CD8E"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t>Curing and laboratory testing</w:t>
            </w:r>
          </w:p>
        </w:tc>
        <w:tc>
          <w:tcPr>
            <w:tcW w:w="1064" w:type="pct"/>
            <w:hideMark/>
          </w:tcPr>
          <w:p w14:paraId="06627CE8"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Contractor and tester retain curing, sampling, and laboratory source records</w:t>
            </w:r>
          </w:p>
        </w:tc>
        <w:tc>
          <w:tcPr>
            <w:tcW w:w="906" w:type="pct"/>
            <w:hideMark/>
          </w:tcPr>
          <w:p w14:paraId="0B5E8C3A"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Authorized tester submits the report</w:t>
            </w:r>
          </w:p>
        </w:tc>
        <w:tc>
          <w:tcPr>
            <w:tcW w:w="1154" w:type="pct"/>
            <w:hideMark/>
          </w:tcPr>
          <w:p w14:paraId="45364C89"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Tester identity and Oracle assurance support record acceptance; owner or supervisor determines required project action under existing authority</w:t>
            </w:r>
          </w:p>
        </w:tc>
        <w:tc>
          <w:tcPr>
            <w:tcW w:w="1186" w:type="pct"/>
            <w:hideMark/>
          </w:tcPr>
          <w:p w14:paraId="4F22F7D7"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Disputed results trigger record review, sample-chain verification, or independent retesting</w:t>
            </w:r>
          </w:p>
        </w:tc>
      </w:tr>
      <w:tr w:rsidR="00D811BC" w:rsidRPr="00D811BC" w14:paraId="5A5DFBFE" w14:textId="77777777" w:rsidTr="00B433DD">
        <w:tc>
          <w:tcPr>
            <w:cnfStyle w:val="001000000000" w:firstRow="0" w:lastRow="0" w:firstColumn="1" w:lastColumn="0" w:oddVBand="0" w:evenVBand="0" w:oddHBand="0" w:evenHBand="0" w:firstRowFirstColumn="0" w:firstRowLastColumn="0" w:lastRowFirstColumn="0" w:lastRowLastColumn="0"/>
            <w:tcW w:w="690" w:type="pct"/>
            <w:hideMark/>
          </w:tcPr>
          <w:p w14:paraId="65BFFEC6" w14:textId="77777777" w:rsidR="00D811BC" w:rsidRPr="00D811BC" w:rsidRDefault="00D811BC" w:rsidP="00D811BC">
            <w:pPr>
              <w:spacing w:line="280" w:lineRule="auto"/>
              <w:jc w:val="center"/>
              <w:rPr>
                <w:rFonts w:eastAsia="Times New Roman"/>
                <w:sz w:val="18"/>
                <w:szCs w:val="18"/>
              </w:rPr>
            </w:pPr>
            <w:r w:rsidRPr="00D811BC">
              <w:rPr>
                <w:rFonts w:eastAsia="Times New Roman"/>
                <w:sz w:val="18"/>
                <w:szCs w:val="18"/>
              </w:rPr>
              <w:t>Regulatory and insurance use</w:t>
            </w:r>
          </w:p>
        </w:tc>
        <w:tc>
          <w:tcPr>
            <w:tcW w:w="1064" w:type="pct"/>
            <w:hideMark/>
          </w:tcPr>
          <w:p w14:paraId="119DF00A"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Source organizations retain full records; purpose-specific evidence packages are made accessible under authorization</w:t>
            </w:r>
          </w:p>
        </w:tc>
        <w:tc>
          <w:tcPr>
            <w:tcW w:w="906" w:type="pct"/>
            <w:hideMark/>
          </w:tcPr>
          <w:p w14:paraId="730E57A4"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Owner authorizes the relevant evidence-access scope</w:t>
            </w:r>
          </w:p>
        </w:tc>
        <w:tc>
          <w:tcPr>
            <w:tcW w:w="1154" w:type="pct"/>
            <w:hideMark/>
          </w:tcPr>
          <w:p w14:paraId="08452EA2"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Regulators exercise statutory audit and enforcement authority; insurers decide underwriting and claims matters</w:t>
            </w:r>
          </w:p>
        </w:tc>
        <w:tc>
          <w:tcPr>
            <w:tcW w:w="1186" w:type="pct"/>
            <w:hideMark/>
          </w:tcPr>
          <w:p w14:paraId="611AC0A9" w14:textId="77777777" w:rsidR="00D811BC" w:rsidRPr="00D811BC" w:rsidRDefault="00D811BC" w:rsidP="00D811BC">
            <w:pPr>
              <w:spacing w:line="28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18"/>
                <w:szCs w:val="18"/>
              </w:rPr>
            </w:pPr>
            <w:r w:rsidRPr="00D811BC">
              <w:rPr>
                <w:rFonts w:eastAsia="Times New Roman"/>
                <w:sz w:val="18"/>
                <w:szCs w:val="18"/>
              </w:rPr>
              <w:t>Insurance or regulatory disputes follow the applicable policy, contract, and legal procedure; neither actor approves routine construction-stage transactions</w:t>
            </w:r>
          </w:p>
        </w:tc>
      </w:tr>
    </w:tbl>
    <w:p w14:paraId="6FC7DE8D" w14:textId="63AADF71" w:rsidR="00F71874" w:rsidRDefault="00F71874" w:rsidP="00F71874">
      <w:pPr>
        <w:spacing w:line="480" w:lineRule="auto"/>
        <w:ind w:firstLine="440"/>
        <w:jc w:val="both"/>
      </w:pPr>
      <w:r w:rsidRPr="00F71874">
        <w:t>As summarized in Table E3, each stage-boundary transaction follows a separation-of-duties principle. The organization responsible for generating the record submits and attests to it, while the receiving party or designated verifier endorses or rejects it with a recorded reason. The chaincode accepts the transition only after the required endorsements and quality conditions are satisfied. Oracle authority is limited to verifying provenance, authorization, timeliness, signatures, calibration evidence, and rule compliance. Decisions concerning waivers, corrective action, physical acceptance, and liability remain with the parties authorized under the project contract and applicable regulations.</w:t>
      </w:r>
    </w:p>
    <w:p w14:paraId="4BB48CF3" w14:textId="2A0A7F71" w:rsidR="00F71874" w:rsidRPr="00D811BC" w:rsidRDefault="00F71874" w:rsidP="00F71874">
      <w:pPr>
        <w:spacing w:line="480" w:lineRule="auto"/>
        <w:ind w:firstLine="440"/>
        <w:jc w:val="both"/>
      </w:pPr>
      <w:r w:rsidRPr="00D811BC">
        <w:t xml:space="preserve">A rejected or disputed transition remains in a pending state. The dispute is first reviewed by the supervisor or the owner’s authorized quality representative, followed by independent testing when </w:t>
      </w:r>
      <w:r w:rsidRPr="00D811BC">
        <w:lastRenderedPageBreak/>
        <w:t>additional technical evidence is required. Unresolved cases proceed through the contractual dispute procedure. The owner coordinates node admission and role-based permissions under the consortium agreement, while operational transaction approval remains governed by the endorsement policy. Regulators retain audit and enforcement authority within their statutory scope.</w:t>
      </w:r>
    </w:p>
    <w:p w14:paraId="689030E6" w14:textId="77777777" w:rsidR="00F71874" w:rsidRDefault="00F71874" w:rsidP="00F71874">
      <w:pPr>
        <w:spacing w:line="480" w:lineRule="auto"/>
        <w:ind w:firstLine="440"/>
        <w:jc w:val="both"/>
      </w:pPr>
      <w:r w:rsidRPr="00D811BC">
        <w:t>These controls represent a design-time allocation of responsibilities rather than a field-validated coordination outcome. The staged pilot should therefore monitor data completeness, endorsement time, contested-transaction frequency, exception-closure time, and unresolved disputes. Expansion from batch registration and custody transfer to laboratory verification, regulatory access, and insurance-linked evidence use should proceed only after the participating organizations have demonstrated stable performance against the agreed governance criteria.</w:t>
      </w:r>
    </w:p>
    <w:p w14:paraId="37678FC8" w14:textId="16DA26F9" w:rsidR="00D811BC" w:rsidRDefault="00BF3599">
      <w:pPr>
        <w:spacing w:line="480" w:lineRule="auto"/>
        <w:ind w:firstLine="440"/>
        <w:jc w:val="both"/>
      </w:pPr>
      <w:r w:rsidRPr="00BF3599">
        <w:t>Table E3 defines the lifecycle allocation of data custody, submission responsibility, decision authority, and escalation. Table E4 translates this governance allocation into role-based interface, notification, exception-handling, and workload-control requirements for daily operation.</w:t>
      </w:r>
    </w:p>
    <w:p w14:paraId="63FA361A" w14:textId="30B777A3" w:rsidR="00BF3599" w:rsidRPr="00174BED" w:rsidRDefault="00BF3599" w:rsidP="00174BED">
      <w:pPr>
        <w:spacing w:line="480" w:lineRule="auto"/>
        <w:jc w:val="center"/>
        <w:rPr>
          <w:rFonts w:eastAsia="Times New Roman"/>
          <w:sz w:val="20"/>
          <w:szCs w:val="20"/>
        </w:rPr>
      </w:pPr>
      <w:r w:rsidRPr="00174BED">
        <w:rPr>
          <w:rFonts w:eastAsia="Times New Roman"/>
          <w:sz w:val="20"/>
          <w:szCs w:val="20"/>
        </w:rPr>
        <w:t>Table E4. Role-based interface, notification, and exception-handling requirements for daily RMC quality control</w:t>
      </w:r>
    </w:p>
    <w:tbl>
      <w:tblPr>
        <w:tblStyle w:val="211"/>
        <w:tblW w:w="0" w:type="auto"/>
        <w:tblLook w:val="04A0" w:firstRow="1" w:lastRow="0" w:firstColumn="1" w:lastColumn="0" w:noHBand="0" w:noVBand="1"/>
      </w:tblPr>
      <w:tblGrid>
        <w:gridCol w:w="1701"/>
        <w:gridCol w:w="2485"/>
        <w:gridCol w:w="2542"/>
        <w:gridCol w:w="2632"/>
      </w:tblGrid>
      <w:tr w:rsidR="00BF3599" w:rsidRPr="00174BED" w14:paraId="29160455" w14:textId="77777777" w:rsidTr="00BF35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7ADEA" w14:textId="77777777" w:rsidR="00BF3599" w:rsidRPr="00174BED" w:rsidRDefault="00BF3599" w:rsidP="00174BED">
            <w:pPr>
              <w:rPr>
                <w:sz w:val="18"/>
                <w:szCs w:val="18"/>
              </w:rPr>
            </w:pPr>
            <w:r w:rsidRPr="00174BED">
              <w:rPr>
                <w:sz w:val="18"/>
                <w:szCs w:val="18"/>
              </w:rPr>
              <w:t>User role</w:t>
            </w:r>
          </w:p>
        </w:tc>
        <w:tc>
          <w:tcPr>
            <w:tcW w:w="0" w:type="auto"/>
            <w:hideMark/>
          </w:tcPr>
          <w:p w14:paraId="7D5793AA" w14:textId="77777777" w:rsidR="00BF3599" w:rsidRPr="00174BED" w:rsidRDefault="00BF3599" w:rsidP="00174BED">
            <w:pPr>
              <w:cnfStyle w:val="100000000000" w:firstRow="1" w:lastRow="0" w:firstColumn="0" w:lastColumn="0" w:oddVBand="0" w:evenVBand="0" w:oddHBand="0" w:evenHBand="0" w:firstRowFirstColumn="0" w:firstRowLastColumn="0" w:lastRowFirstColumn="0" w:lastRowLastColumn="0"/>
              <w:rPr>
                <w:sz w:val="18"/>
                <w:szCs w:val="18"/>
              </w:rPr>
            </w:pPr>
            <w:r w:rsidRPr="00174BED">
              <w:rPr>
                <w:sz w:val="18"/>
                <w:szCs w:val="18"/>
              </w:rPr>
              <w:t>Routine interface and action</w:t>
            </w:r>
          </w:p>
        </w:tc>
        <w:tc>
          <w:tcPr>
            <w:tcW w:w="0" w:type="auto"/>
            <w:hideMark/>
          </w:tcPr>
          <w:p w14:paraId="23C8E0AA" w14:textId="77777777" w:rsidR="00BF3599" w:rsidRPr="00174BED" w:rsidRDefault="00BF3599" w:rsidP="00174BED">
            <w:pPr>
              <w:cnfStyle w:val="100000000000" w:firstRow="1" w:lastRow="0" w:firstColumn="0" w:lastColumn="0" w:oddVBand="0" w:evenVBand="0" w:oddHBand="0" w:evenHBand="0" w:firstRowFirstColumn="0" w:firstRowLastColumn="0" w:lastRowFirstColumn="0" w:lastRowLastColumn="0"/>
              <w:rPr>
                <w:sz w:val="18"/>
                <w:szCs w:val="18"/>
              </w:rPr>
            </w:pPr>
            <w:r w:rsidRPr="00174BED">
              <w:rPr>
                <w:sz w:val="18"/>
                <w:szCs w:val="18"/>
              </w:rPr>
              <w:t>Notification and exception duty</w:t>
            </w:r>
          </w:p>
        </w:tc>
        <w:tc>
          <w:tcPr>
            <w:tcW w:w="0" w:type="auto"/>
            <w:hideMark/>
          </w:tcPr>
          <w:p w14:paraId="6C5F8FA1" w14:textId="77777777" w:rsidR="00BF3599" w:rsidRPr="00174BED" w:rsidRDefault="00BF3599" w:rsidP="00174BED">
            <w:pPr>
              <w:cnfStyle w:val="100000000000" w:firstRow="1" w:lastRow="0" w:firstColumn="0" w:lastColumn="0" w:oddVBand="0" w:evenVBand="0" w:oddHBand="0" w:evenHBand="0" w:firstRowFirstColumn="0" w:firstRowLastColumn="0" w:lastRowFirstColumn="0" w:lastRowLastColumn="0"/>
              <w:rPr>
                <w:sz w:val="18"/>
                <w:szCs w:val="18"/>
              </w:rPr>
            </w:pPr>
            <w:r w:rsidRPr="00174BED">
              <w:rPr>
                <w:sz w:val="18"/>
                <w:szCs w:val="18"/>
              </w:rPr>
              <w:t>Workload-control feature</w:t>
            </w:r>
          </w:p>
        </w:tc>
      </w:tr>
      <w:tr w:rsidR="00BF3599" w:rsidRPr="00174BED" w14:paraId="03EE46CA"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4CB0F9A2" w14:textId="77777777" w:rsidR="00BF3599" w:rsidRPr="00174BED" w:rsidRDefault="00BF3599" w:rsidP="00174BED">
            <w:pPr>
              <w:rPr>
                <w:sz w:val="18"/>
                <w:szCs w:val="18"/>
              </w:rPr>
            </w:pPr>
            <w:r w:rsidRPr="00174BED">
              <w:rPr>
                <w:sz w:val="18"/>
                <w:szCs w:val="18"/>
              </w:rPr>
              <w:t>Supplier and RMC producer personnel</w:t>
            </w:r>
          </w:p>
        </w:tc>
        <w:tc>
          <w:tcPr>
            <w:tcW w:w="0" w:type="auto"/>
            <w:hideMark/>
          </w:tcPr>
          <w:p w14:paraId="3C65A401"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 the production-system connector and task queue to review prefilled source, mix-design, production, and batch fields before submission or attestation</w:t>
            </w:r>
          </w:p>
        </w:tc>
        <w:tc>
          <w:tcPr>
            <w:tcW w:w="0" w:type="auto"/>
            <w:hideMark/>
          </w:tcPr>
          <w:p w14:paraId="22518046"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 xml:space="preserve">Respond to missing or invalid fields, low source-assurance status, correction requests, or a rejected </w:t>
            </w:r>
            <w:proofErr w:type="spellStart"/>
            <w:r w:rsidRPr="00174BED">
              <w:rPr>
                <w:sz w:val="18"/>
                <w:szCs w:val="18"/>
              </w:rPr>
              <w:t>InitBatch</w:t>
            </w:r>
            <w:proofErr w:type="spellEnd"/>
            <w:r w:rsidRPr="00174BED">
              <w:rPr>
                <w:sz w:val="18"/>
                <w:szCs w:val="18"/>
              </w:rPr>
              <w:t>; correct or support the source record and resubmit</w:t>
            </w:r>
          </w:p>
        </w:tc>
        <w:tc>
          <w:tcPr>
            <w:tcW w:w="0" w:type="auto"/>
            <w:hideMark/>
          </w:tcPr>
          <w:p w14:paraId="2BB2C2F7"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Reuses existing source records; shares minimum required attributes and hashes; requires manual entry only when structured source data are unavailable</w:t>
            </w:r>
          </w:p>
        </w:tc>
      </w:tr>
      <w:tr w:rsidR="00BF3599" w:rsidRPr="00174BED" w14:paraId="4713B420"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671E6AAE" w14:textId="77777777" w:rsidR="00BF3599" w:rsidRPr="00174BED" w:rsidRDefault="00BF3599" w:rsidP="00174BED">
            <w:pPr>
              <w:rPr>
                <w:sz w:val="18"/>
                <w:szCs w:val="18"/>
              </w:rPr>
            </w:pPr>
            <w:r w:rsidRPr="00174BED">
              <w:rPr>
                <w:sz w:val="18"/>
                <w:szCs w:val="18"/>
              </w:rPr>
              <w:t>Producer logistics personnel or registered device operator</w:t>
            </w:r>
          </w:p>
        </w:tc>
        <w:tc>
          <w:tcPr>
            <w:tcW w:w="0" w:type="auto"/>
            <w:hideMark/>
          </w:tcPr>
          <w:p w14:paraId="14EF7100"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 the dispatch or mobile status view to associate the device with the batch; routine telemetry is transmitted automatically</w:t>
            </w:r>
          </w:p>
        </w:tc>
        <w:tc>
          <w:tcPr>
            <w:tcW w:w="0" w:type="auto"/>
            <w:hideMark/>
          </w:tcPr>
          <w:p w14:paraId="40CED408"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Respond to sensor outages, identity mismatches, threshold alerts, or overdue updates; provide authenticated fallback data where required</w:t>
            </w:r>
          </w:p>
        </w:tc>
        <w:tc>
          <w:tcPr>
            <w:tcW w:w="0" w:type="auto"/>
            <w:hideMark/>
          </w:tcPr>
          <w:p w14:paraId="59A9183D"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Uses exception-only intervention and requires no acknowledgement of normal readings</w:t>
            </w:r>
          </w:p>
        </w:tc>
      </w:tr>
      <w:tr w:rsidR="00BF3599" w:rsidRPr="00174BED" w14:paraId="4646EA58"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59F212E7" w14:textId="77777777" w:rsidR="00BF3599" w:rsidRPr="00174BED" w:rsidRDefault="00BF3599" w:rsidP="00174BED">
            <w:pPr>
              <w:rPr>
                <w:sz w:val="18"/>
                <w:szCs w:val="18"/>
              </w:rPr>
            </w:pPr>
            <w:r w:rsidRPr="00174BED">
              <w:rPr>
                <w:sz w:val="18"/>
                <w:szCs w:val="18"/>
              </w:rPr>
              <w:t>Contractor quality personnel</w:t>
            </w:r>
          </w:p>
        </w:tc>
        <w:tc>
          <w:tcPr>
            <w:tcW w:w="0" w:type="auto"/>
            <w:hideMark/>
          </w:tcPr>
          <w:p w14:paraId="36CC1B9C"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 xml:space="preserve">Retrieve the batch through a QR code or equivalent identifier, review the prefilled handover record, and endorse or reject </w:t>
            </w:r>
            <w:proofErr w:type="spellStart"/>
            <w:r w:rsidRPr="00174BED">
              <w:rPr>
                <w:sz w:val="18"/>
                <w:szCs w:val="18"/>
              </w:rPr>
              <w:t>HandoverBatch</w:t>
            </w:r>
            <w:proofErr w:type="spellEnd"/>
          </w:p>
        </w:tc>
        <w:tc>
          <w:tcPr>
            <w:tcW w:w="0" w:type="auto"/>
            <w:hideMark/>
          </w:tcPr>
          <w:p w14:paraId="4F4BF488"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Respond to arrival notices, missing evidence, threshold breaches, and endorsement deadlines; record the reason and evidence for rejection</w:t>
            </w:r>
          </w:p>
        </w:tc>
        <w:tc>
          <w:tcPr>
            <w:tcW w:w="0" w:type="auto"/>
            <w:hideMark/>
          </w:tcPr>
          <w:p w14:paraId="2FF0DC79"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Adds one decision to the existing receipt inspection and does not require complete document reuploading</w:t>
            </w:r>
          </w:p>
        </w:tc>
      </w:tr>
      <w:tr w:rsidR="00BF3599" w:rsidRPr="00174BED" w14:paraId="757CFF6C"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29990A63" w14:textId="77777777" w:rsidR="00BF3599" w:rsidRPr="00174BED" w:rsidRDefault="00BF3599" w:rsidP="00174BED">
            <w:pPr>
              <w:rPr>
                <w:sz w:val="18"/>
                <w:szCs w:val="18"/>
              </w:rPr>
            </w:pPr>
            <w:r w:rsidRPr="00174BED">
              <w:rPr>
                <w:sz w:val="18"/>
                <w:szCs w:val="18"/>
              </w:rPr>
              <w:t>Authorized tester</w:t>
            </w:r>
          </w:p>
        </w:tc>
        <w:tc>
          <w:tcPr>
            <w:tcW w:w="0" w:type="auto"/>
            <w:hideMark/>
          </w:tcPr>
          <w:p w14:paraId="6F303853"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 a laboratory connector or signed template to link the sample and test report to the relevant batch and structural element</w:t>
            </w:r>
          </w:p>
        </w:tc>
        <w:tc>
          <w:tcPr>
            <w:tcW w:w="0" w:type="auto"/>
            <w:hideMark/>
          </w:tcPr>
          <w:p w14:paraId="27EDC97B"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Respond to report deadlines, signature failures, sample-chain inconsistencies, or authorized retesting requests</w:t>
            </w:r>
          </w:p>
        </w:tc>
        <w:tc>
          <w:tcPr>
            <w:tcW w:w="0" w:type="auto"/>
            <w:hideMark/>
          </w:tcPr>
          <w:p w14:paraId="68573AF0"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Reuses the laboratory report and extracts standardized fields automatically where possible</w:t>
            </w:r>
          </w:p>
        </w:tc>
      </w:tr>
      <w:tr w:rsidR="00BF3599" w:rsidRPr="00174BED" w14:paraId="2126A43B"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575FC433" w14:textId="77777777" w:rsidR="00BF3599" w:rsidRPr="00174BED" w:rsidRDefault="00BF3599" w:rsidP="00174BED">
            <w:pPr>
              <w:rPr>
                <w:sz w:val="18"/>
                <w:szCs w:val="18"/>
              </w:rPr>
            </w:pPr>
            <w:r w:rsidRPr="00174BED">
              <w:rPr>
                <w:sz w:val="18"/>
                <w:szCs w:val="18"/>
              </w:rPr>
              <w:t>Owner or supervisor quality representative</w:t>
            </w:r>
          </w:p>
        </w:tc>
        <w:tc>
          <w:tcPr>
            <w:tcW w:w="0" w:type="auto"/>
            <w:hideMark/>
          </w:tcPr>
          <w:p w14:paraId="0FF6BD02"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 the exception dashboard to review overdue, low-assurance, rejected, and disputed events</w:t>
            </w:r>
          </w:p>
        </w:tc>
        <w:tc>
          <w:tcPr>
            <w:tcW w:w="0" w:type="auto"/>
            <w:hideMark/>
          </w:tcPr>
          <w:p w14:paraId="07BDBF76"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Coordinate correction, contractual quality action, independent testing, and escalation within existing authority</w:t>
            </w:r>
          </w:p>
        </w:tc>
        <w:tc>
          <w:tcPr>
            <w:tcW w:w="0" w:type="auto"/>
            <w:hideMark/>
          </w:tcPr>
          <w:p w14:paraId="1566BB28"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Receives a prioritized exception queue and batch-level evidence package without routine data re-entry</w:t>
            </w:r>
          </w:p>
        </w:tc>
      </w:tr>
      <w:tr w:rsidR="00BF3599" w:rsidRPr="00174BED" w14:paraId="06E5B8D6"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627735D6" w14:textId="77777777" w:rsidR="00BF3599" w:rsidRPr="00174BED" w:rsidRDefault="00BF3599" w:rsidP="00174BED">
            <w:pPr>
              <w:rPr>
                <w:sz w:val="18"/>
                <w:szCs w:val="18"/>
              </w:rPr>
            </w:pPr>
            <w:r w:rsidRPr="00174BED">
              <w:rPr>
                <w:sz w:val="18"/>
                <w:szCs w:val="18"/>
              </w:rPr>
              <w:lastRenderedPageBreak/>
              <w:t>Regulator or insurer</w:t>
            </w:r>
          </w:p>
        </w:tc>
        <w:tc>
          <w:tcPr>
            <w:tcW w:w="0" w:type="auto"/>
            <w:hideMark/>
          </w:tcPr>
          <w:p w14:paraId="12593ABF"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 permissioned evidence queries for statutory audit or authorized underwriting and claim assessment</w:t>
            </w:r>
          </w:p>
        </w:tc>
        <w:tc>
          <w:tcPr>
            <w:tcW w:w="0" w:type="auto"/>
            <w:hideMark/>
          </w:tcPr>
          <w:p w14:paraId="042F695D"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Act only when an authorized audit, incident, underwriting, or claim event occurs; neither role approves routine construction-stage transactions</w:t>
            </w:r>
          </w:p>
        </w:tc>
        <w:tc>
          <w:tcPr>
            <w:tcW w:w="0" w:type="auto"/>
            <w:hideMark/>
          </w:tcPr>
          <w:p w14:paraId="29E9BC33"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Receives purpose-specific read access and does not participate in routine construction transactions</w:t>
            </w:r>
          </w:p>
        </w:tc>
      </w:tr>
      <w:tr w:rsidR="00BF3599" w:rsidRPr="00174BED" w14:paraId="3D25EDAA" w14:textId="77777777" w:rsidTr="00BF3599">
        <w:tc>
          <w:tcPr>
            <w:cnfStyle w:val="001000000000" w:firstRow="0" w:lastRow="0" w:firstColumn="1" w:lastColumn="0" w:oddVBand="0" w:evenVBand="0" w:oddHBand="0" w:evenHBand="0" w:firstRowFirstColumn="0" w:firstRowLastColumn="0" w:lastRowFirstColumn="0" w:lastRowLastColumn="0"/>
            <w:tcW w:w="0" w:type="auto"/>
            <w:hideMark/>
          </w:tcPr>
          <w:p w14:paraId="35F0A815" w14:textId="77777777" w:rsidR="00BF3599" w:rsidRPr="00174BED" w:rsidRDefault="00BF3599" w:rsidP="00174BED">
            <w:pPr>
              <w:rPr>
                <w:sz w:val="18"/>
                <w:szCs w:val="18"/>
              </w:rPr>
            </w:pPr>
            <w:r w:rsidRPr="00174BED">
              <w:rPr>
                <w:sz w:val="18"/>
                <w:szCs w:val="18"/>
              </w:rPr>
              <w:t>Consortium-designated technical operator</w:t>
            </w:r>
          </w:p>
        </w:tc>
        <w:tc>
          <w:tcPr>
            <w:tcW w:w="0" w:type="auto"/>
            <w:hideMark/>
          </w:tcPr>
          <w:p w14:paraId="6C6D0C43"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Use the administration console to monitor node, Oracle, connector, certificate, backup, and system health</w:t>
            </w:r>
          </w:p>
        </w:tc>
        <w:tc>
          <w:tcPr>
            <w:tcW w:w="0" w:type="auto"/>
            <w:hideMark/>
          </w:tcPr>
          <w:p w14:paraId="2E7C4FFD"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Respond to service failures, certificate expiry, processing backlogs, or security alerts and record maintenance actions</w:t>
            </w:r>
          </w:p>
        </w:tc>
        <w:tc>
          <w:tcPr>
            <w:tcW w:w="0" w:type="auto"/>
            <w:hideMark/>
          </w:tcPr>
          <w:p w14:paraId="72157B3E" w14:textId="77777777" w:rsidR="00BF3599" w:rsidRPr="00174BED" w:rsidRDefault="00BF3599" w:rsidP="00174BED">
            <w:pPr>
              <w:cnfStyle w:val="000000000000" w:firstRow="0" w:lastRow="0" w:firstColumn="0" w:lastColumn="0" w:oddVBand="0" w:evenVBand="0" w:oddHBand="0" w:evenHBand="0" w:firstRowFirstColumn="0" w:firstRowLastColumn="0" w:lastRowFirstColumn="0" w:lastRowLastColumn="0"/>
              <w:rPr>
                <w:sz w:val="18"/>
                <w:szCs w:val="18"/>
              </w:rPr>
            </w:pPr>
            <w:r w:rsidRPr="00174BED">
              <w:rPr>
                <w:sz w:val="18"/>
                <w:szCs w:val="18"/>
              </w:rPr>
              <w:t>Separates technical alerts from quality decisions and provides no authority to alter accepted records or operational approvals</w:t>
            </w:r>
          </w:p>
        </w:tc>
      </w:tr>
    </w:tbl>
    <w:p w14:paraId="031237F3" w14:textId="77777777" w:rsidR="00BF3599" w:rsidRPr="00BF3599" w:rsidRDefault="00BF3599">
      <w:pPr>
        <w:spacing w:line="480" w:lineRule="auto"/>
        <w:ind w:firstLine="440"/>
        <w:jc w:val="both"/>
      </w:pPr>
    </w:p>
    <w:sectPr w:rsidR="00BF3599" w:rsidRPr="00BF359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9BE74" w14:textId="77777777" w:rsidR="00312F1B" w:rsidRDefault="00312F1B" w:rsidP="006E6AF7">
      <w:r>
        <w:separator/>
      </w:r>
    </w:p>
  </w:endnote>
  <w:endnote w:type="continuationSeparator" w:id="0">
    <w:p w14:paraId="3C931539" w14:textId="77777777" w:rsidR="00312F1B" w:rsidRDefault="00312F1B" w:rsidP="006E6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FCA07" w14:textId="77777777" w:rsidR="00312F1B" w:rsidRDefault="00312F1B" w:rsidP="006E6AF7">
      <w:r>
        <w:separator/>
      </w:r>
    </w:p>
  </w:footnote>
  <w:footnote w:type="continuationSeparator" w:id="0">
    <w:p w14:paraId="23F5395E" w14:textId="77777777" w:rsidR="00312F1B" w:rsidRDefault="00312F1B" w:rsidP="006E6A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20A84"/>
    <w:multiLevelType w:val="hybridMultilevel"/>
    <w:tmpl w:val="2298671C"/>
    <w:lvl w:ilvl="0" w:tplc="10AC0F56">
      <w:start w:val="1"/>
      <w:numFmt w:val="bullet"/>
      <w:lvlText w:val="●"/>
      <w:lvlJc w:val="left"/>
      <w:pPr>
        <w:ind w:left="720" w:hanging="360"/>
      </w:pPr>
    </w:lvl>
    <w:lvl w:ilvl="1" w:tplc="B3C65806">
      <w:start w:val="1"/>
      <w:numFmt w:val="bullet"/>
      <w:lvlText w:val="○"/>
      <w:lvlJc w:val="left"/>
      <w:pPr>
        <w:ind w:left="1440" w:hanging="360"/>
      </w:pPr>
    </w:lvl>
    <w:lvl w:ilvl="2" w:tplc="4F2CA36C">
      <w:start w:val="1"/>
      <w:numFmt w:val="bullet"/>
      <w:lvlText w:val="■"/>
      <w:lvlJc w:val="left"/>
      <w:pPr>
        <w:ind w:left="2160" w:hanging="360"/>
      </w:pPr>
    </w:lvl>
    <w:lvl w:ilvl="3" w:tplc="D8C23D8E">
      <w:start w:val="1"/>
      <w:numFmt w:val="bullet"/>
      <w:lvlText w:val="●"/>
      <w:lvlJc w:val="left"/>
      <w:pPr>
        <w:ind w:left="2880" w:hanging="360"/>
      </w:pPr>
    </w:lvl>
    <w:lvl w:ilvl="4" w:tplc="03066630">
      <w:start w:val="1"/>
      <w:numFmt w:val="bullet"/>
      <w:lvlText w:val="○"/>
      <w:lvlJc w:val="left"/>
      <w:pPr>
        <w:ind w:left="3600" w:hanging="360"/>
      </w:pPr>
    </w:lvl>
    <w:lvl w:ilvl="5" w:tplc="BCCEB16C">
      <w:start w:val="1"/>
      <w:numFmt w:val="bullet"/>
      <w:lvlText w:val="■"/>
      <w:lvlJc w:val="left"/>
      <w:pPr>
        <w:ind w:left="4320" w:hanging="360"/>
      </w:pPr>
    </w:lvl>
    <w:lvl w:ilvl="6" w:tplc="0444EE3C">
      <w:start w:val="1"/>
      <w:numFmt w:val="bullet"/>
      <w:lvlText w:val="●"/>
      <w:lvlJc w:val="left"/>
      <w:pPr>
        <w:ind w:left="5040" w:hanging="360"/>
      </w:pPr>
    </w:lvl>
    <w:lvl w:ilvl="7" w:tplc="330EE79A">
      <w:start w:val="1"/>
      <w:numFmt w:val="bullet"/>
      <w:lvlText w:val="●"/>
      <w:lvlJc w:val="left"/>
      <w:pPr>
        <w:ind w:left="5760" w:hanging="360"/>
      </w:pPr>
    </w:lvl>
    <w:lvl w:ilvl="8" w:tplc="B0BEF27C">
      <w:start w:val="1"/>
      <w:numFmt w:val="bullet"/>
      <w:lvlText w:val="●"/>
      <w:lvlJc w:val="left"/>
      <w:pPr>
        <w:ind w:left="6480" w:hanging="360"/>
      </w:pPr>
    </w:lvl>
  </w:abstractNum>
  <w:num w:numId="1" w16cid:durableId="20867570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isplayBackgroundShape/>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CA4"/>
    <w:rsid w:val="00021962"/>
    <w:rsid w:val="00174BED"/>
    <w:rsid w:val="002B3F36"/>
    <w:rsid w:val="002B6D85"/>
    <w:rsid w:val="002C3460"/>
    <w:rsid w:val="00312F1B"/>
    <w:rsid w:val="003A60F5"/>
    <w:rsid w:val="00400CA4"/>
    <w:rsid w:val="00455539"/>
    <w:rsid w:val="005C75F7"/>
    <w:rsid w:val="006B1099"/>
    <w:rsid w:val="006E6AF7"/>
    <w:rsid w:val="0089218B"/>
    <w:rsid w:val="008A7258"/>
    <w:rsid w:val="00A307EC"/>
    <w:rsid w:val="00AD4B33"/>
    <w:rsid w:val="00B433DD"/>
    <w:rsid w:val="00BF3599"/>
    <w:rsid w:val="00C6674B"/>
    <w:rsid w:val="00D811BC"/>
    <w:rsid w:val="00F718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EF63C"/>
  <w15:docId w15:val="{85554EBD-F601-445B-9CDB-E469BC632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6E6AF7"/>
    <w:pPr>
      <w:tabs>
        <w:tab w:val="center" w:pos="4153"/>
        <w:tab w:val="right" w:pos="8306"/>
      </w:tabs>
      <w:snapToGrid w:val="0"/>
      <w:jc w:val="center"/>
    </w:pPr>
    <w:rPr>
      <w:sz w:val="18"/>
      <w:szCs w:val="18"/>
    </w:rPr>
  </w:style>
  <w:style w:type="character" w:customStyle="1" w:styleId="ad">
    <w:name w:val="页眉 字符"/>
    <w:basedOn w:val="a0"/>
    <w:link w:val="ac"/>
    <w:uiPriority w:val="99"/>
    <w:rsid w:val="006E6AF7"/>
    <w:rPr>
      <w:sz w:val="18"/>
      <w:szCs w:val="18"/>
    </w:rPr>
  </w:style>
  <w:style w:type="paragraph" w:styleId="ae">
    <w:name w:val="footer"/>
    <w:basedOn w:val="a"/>
    <w:link w:val="af"/>
    <w:uiPriority w:val="99"/>
    <w:unhideWhenUsed/>
    <w:rsid w:val="006E6AF7"/>
    <w:pPr>
      <w:tabs>
        <w:tab w:val="center" w:pos="4153"/>
        <w:tab w:val="right" w:pos="8306"/>
      </w:tabs>
      <w:snapToGrid w:val="0"/>
    </w:pPr>
    <w:rPr>
      <w:sz w:val="18"/>
      <w:szCs w:val="18"/>
    </w:rPr>
  </w:style>
  <w:style w:type="character" w:customStyle="1" w:styleId="af">
    <w:name w:val="页脚 字符"/>
    <w:basedOn w:val="a0"/>
    <w:link w:val="ae"/>
    <w:uiPriority w:val="99"/>
    <w:rsid w:val="006E6AF7"/>
    <w:rPr>
      <w:sz w:val="18"/>
      <w:szCs w:val="18"/>
    </w:rPr>
  </w:style>
  <w:style w:type="table" w:customStyle="1" w:styleId="211">
    <w:name w:val="无格式表格 211"/>
    <w:basedOn w:val="a1"/>
    <w:uiPriority w:val="42"/>
    <w:qFormat/>
    <w:rsid w:val="006E6AF7"/>
    <w:rPr>
      <w:rFonts w:eastAsia="宋体"/>
      <w:sz w:val="20"/>
      <w:szCs w:val="20"/>
    </w:rPr>
    <w:tblPr>
      <w:tblBorders>
        <w:top w:val="single" w:sz="12" w:space="0" w:color="auto"/>
        <w:bottom w:val="single" w:sz="12" w:space="0" w:color="auto"/>
      </w:tblBorders>
    </w:tblPr>
    <w:tblStylePr w:type="firstRow">
      <w:rPr>
        <w:b/>
        <w:bCs/>
      </w:rPr>
      <w:tblPr/>
      <w:tcPr>
        <w:tcBorders>
          <w:bottom w:val="single" w:sz="8" w:space="0" w:color="auto"/>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349673">
      <w:bodyDiv w:val="1"/>
      <w:marLeft w:val="0"/>
      <w:marRight w:val="0"/>
      <w:marTop w:val="0"/>
      <w:marBottom w:val="0"/>
      <w:divBdr>
        <w:top w:val="none" w:sz="0" w:space="0" w:color="auto"/>
        <w:left w:val="none" w:sz="0" w:space="0" w:color="auto"/>
        <w:bottom w:val="none" w:sz="0" w:space="0" w:color="auto"/>
        <w:right w:val="none" w:sz="0" w:space="0" w:color="auto"/>
      </w:divBdr>
    </w:div>
    <w:div w:id="670179959">
      <w:bodyDiv w:val="1"/>
      <w:marLeft w:val="0"/>
      <w:marRight w:val="0"/>
      <w:marTop w:val="0"/>
      <w:marBottom w:val="0"/>
      <w:divBdr>
        <w:top w:val="none" w:sz="0" w:space="0" w:color="auto"/>
        <w:left w:val="none" w:sz="0" w:space="0" w:color="auto"/>
        <w:bottom w:val="none" w:sz="0" w:space="0" w:color="auto"/>
        <w:right w:val="none" w:sz="0" w:space="0" w:color="auto"/>
      </w:divBdr>
    </w:div>
    <w:div w:id="678505826">
      <w:bodyDiv w:val="1"/>
      <w:marLeft w:val="0"/>
      <w:marRight w:val="0"/>
      <w:marTop w:val="0"/>
      <w:marBottom w:val="0"/>
      <w:divBdr>
        <w:top w:val="none" w:sz="0" w:space="0" w:color="auto"/>
        <w:left w:val="none" w:sz="0" w:space="0" w:color="auto"/>
        <w:bottom w:val="none" w:sz="0" w:space="0" w:color="auto"/>
        <w:right w:val="none" w:sz="0" w:space="0" w:color="auto"/>
      </w:divBdr>
    </w:div>
    <w:div w:id="1066605273">
      <w:bodyDiv w:val="1"/>
      <w:marLeft w:val="0"/>
      <w:marRight w:val="0"/>
      <w:marTop w:val="0"/>
      <w:marBottom w:val="0"/>
      <w:divBdr>
        <w:top w:val="none" w:sz="0" w:space="0" w:color="auto"/>
        <w:left w:val="none" w:sz="0" w:space="0" w:color="auto"/>
        <w:bottom w:val="none" w:sz="0" w:space="0" w:color="auto"/>
        <w:right w:val="none" w:sz="0" w:space="0" w:color="auto"/>
      </w:divBdr>
    </w:div>
    <w:div w:id="1887640715">
      <w:bodyDiv w:val="1"/>
      <w:marLeft w:val="0"/>
      <w:marRight w:val="0"/>
      <w:marTop w:val="0"/>
      <w:marBottom w:val="0"/>
      <w:divBdr>
        <w:top w:val="none" w:sz="0" w:space="0" w:color="auto"/>
        <w:left w:val="none" w:sz="0" w:space="0" w:color="auto"/>
        <w:bottom w:val="none" w:sz="0" w:space="0" w:color="auto"/>
        <w:right w:val="none" w:sz="0" w:space="0" w:color="auto"/>
      </w:divBdr>
    </w:div>
    <w:div w:id="20112516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2844</Words>
  <Characters>16211</Characters>
  <Application>Microsoft Office Word</Application>
  <DocSecurity>0</DocSecurity>
  <Lines>135</Lines>
  <Paragraphs>38</Paragraphs>
  <ScaleCrop>false</ScaleCrop>
  <Company/>
  <LinksUpToDate>false</LinksUpToDate>
  <CharactersWithSpaces>19017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junyu li</cp:lastModifiedBy>
  <cp:revision>7</cp:revision>
  <dcterms:created xsi:type="dcterms:W3CDTF">2026-05-13T07:31:00Z</dcterms:created>
  <dcterms:modified xsi:type="dcterms:W3CDTF">2026-07-23T07:36:00Z</dcterms:modified>
</cp:coreProperties>
</file>