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28925" w14:textId="77777777" w:rsidR="009400EC" w:rsidRDefault="00000000">
      <w:pPr>
        <w:spacing w:after="120" w:line="360" w:lineRule="auto"/>
        <w:jc w:val="center"/>
      </w:pPr>
      <w:r>
        <w:rPr>
          <w:rFonts w:eastAsia="Times New Roman"/>
          <w:b/>
          <w:bCs/>
          <w:sz w:val="24"/>
          <w:szCs w:val="24"/>
        </w:rPr>
        <w:t>Appendix D. Sensitivity analysis of cost-benefit parameters</w:t>
      </w:r>
    </w:p>
    <w:p w14:paraId="7963F0E2" w14:textId="77777777" w:rsidR="009400EC" w:rsidRDefault="00000000">
      <w:pPr>
        <w:spacing w:before="240" w:after="120" w:line="360" w:lineRule="auto"/>
      </w:pPr>
      <w:r>
        <w:rPr>
          <w:rFonts w:eastAsia="Times New Roman"/>
          <w:b/>
          <w:bCs/>
          <w:sz w:val="24"/>
          <w:szCs w:val="24"/>
        </w:rPr>
        <w:t>D.1 Motivation and methodology</w:t>
      </w:r>
    </w:p>
    <w:p w14:paraId="0A1D00E6" w14:textId="1507891E" w:rsidR="009400EC" w:rsidRDefault="00000000">
      <w:pPr>
        <w:spacing w:line="480" w:lineRule="auto"/>
        <w:ind w:firstLine="440"/>
        <w:jc w:val="both"/>
      </w:pPr>
      <w:r>
        <w:rPr>
          <w:rFonts w:eastAsia="Times New Roman"/>
        </w:rPr>
        <w:t>The project-level cost parameters that drive the event-driven simulation in Section 6.2 reflect expert calibration through the interview pool and conservative scenario assumptions. Multi-project longitudinal lifecycle cost data for blockchain-enabled RMC quality governance does not yet exist at commercial scale, and direct empirical anchoring of every parameter is therefore not feasible at the present stage of the research program.</w:t>
      </w:r>
    </w:p>
    <w:p w14:paraId="15B81D8C" w14:textId="30D1BC00" w:rsidR="009400EC" w:rsidRDefault="00000000">
      <w:pPr>
        <w:spacing w:line="480" w:lineRule="auto"/>
        <w:ind w:firstLine="440"/>
        <w:jc w:val="both"/>
      </w:pPr>
      <w:r>
        <w:rPr>
          <w:rFonts w:eastAsia="Times New Roman"/>
        </w:rPr>
        <w:t>To ensure that the conclusions drawn in Section 6.2 do not hinge on any single parameter choice, we conducted one-way sensitivity analysis across the credible range of each cost and detection parameter. Two outcome metrics were tracked. The first is the oracle cost saving relative to a no-oracle baseline, capturing the framework's direct economic value at the detection layer. The second is the IDI dispute-rate reduction beyond an oracle-only configuration, capturing the marginal governance value contributed by the insurance mechanism. Break-even thresholds for the most influential parameters were further identified through bisection search, defining the project conditions under which framework adoption is economically justified. All analyses were executed on the same</w:t>
      </w:r>
      <w:r w:rsidR="000F6A05">
        <w:rPr>
          <w:rFonts w:hint="eastAsia"/>
        </w:rPr>
        <w:t xml:space="preserve"> </w:t>
      </w:r>
      <w:r>
        <w:rPr>
          <w:rFonts w:eastAsia="Times New Roman"/>
        </w:rPr>
        <w:t>simulation harness reported in Section 6.2 with 20,000 batches per scenario and a fixed random seed for reproducibility.</w:t>
      </w:r>
    </w:p>
    <w:p w14:paraId="53523ADB" w14:textId="77777777" w:rsidR="009400EC" w:rsidRDefault="00000000">
      <w:pPr>
        <w:spacing w:before="240" w:after="120" w:line="360" w:lineRule="auto"/>
      </w:pPr>
      <w:r>
        <w:rPr>
          <w:rFonts w:eastAsia="Times New Roman"/>
          <w:b/>
          <w:bCs/>
          <w:sz w:val="24"/>
          <w:szCs w:val="24"/>
        </w:rPr>
        <w:t>D.2 One-way sensitivity of the framework's two value mechanisms</w:t>
      </w:r>
    </w:p>
    <w:p w14:paraId="14A8C9D7" w14:textId="3E0C89F8" w:rsidR="009400EC" w:rsidRDefault="00000000">
      <w:pPr>
        <w:spacing w:line="480" w:lineRule="auto"/>
        <w:ind w:firstLine="440"/>
        <w:jc w:val="both"/>
      </w:pPr>
      <w:r>
        <w:rPr>
          <w:rFonts w:eastAsia="Times New Roman"/>
        </w:rPr>
        <w:t xml:space="preserve">Fig. D1 presents the tornado sensitivity diagram for the </w:t>
      </w:r>
      <w:r w:rsidR="005E1A39">
        <w:rPr>
          <w:rFonts w:eastAsia="Times New Roman"/>
        </w:rPr>
        <w:t>two-outcome</w:t>
      </w:r>
      <w:r>
        <w:rPr>
          <w:rFonts w:eastAsia="Times New Roman"/>
        </w:rPr>
        <w:t xml:space="preserve"> metrics. In panel (a), oracle cost saving is most sensitive to baseline noncompliance rate, latent failure probability within the ten-year defect liability period, the late-to-rework cost ratio, and oracle detection true positive rate. Panel (b) shows that the IDI dispute-rate reduction is most sensitive to oracle detection capability, baseline noncompliance rate, latent failure probability, and the underlying dispute probability without insurance coverage. The qualitative ranking of influential parameters is consistent across the two outcomes, reflecting the fact that both value mechanisms scale with the project's underlying quality risk profile.</w:t>
      </w:r>
    </w:p>
    <w:p w14:paraId="2A53EE43" w14:textId="3EF7FDDE" w:rsidR="009400EC" w:rsidRDefault="009400EC" w:rsidP="00107463">
      <w:pPr>
        <w:spacing w:after="120"/>
      </w:pPr>
    </w:p>
    <w:p w14:paraId="70E839CF" w14:textId="52A58209" w:rsidR="009400EC" w:rsidRDefault="003227B3">
      <w:pPr>
        <w:spacing w:after="120" w:line="360" w:lineRule="auto"/>
        <w:jc w:val="center"/>
      </w:pPr>
      <w:bookmarkStart w:id="0" w:name="_Hlk229422403"/>
      <w:r>
        <w:rPr>
          <w:noProof/>
          <w:sz w:val="20"/>
          <w:szCs w:val="20"/>
        </w:rPr>
        <w:lastRenderedPageBreak/>
        <w:drawing>
          <wp:inline distT="0" distB="0" distL="0" distR="0" wp14:anchorId="3BBBB295" wp14:editId="1A159C60">
            <wp:extent cx="5941060" cy="2660015"/>
            <wp:effectExtent l="0" t="0" r="2540" b="6985"/>
            <wp:docPr id="5482467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1060" cy="2660015"/>
                    </a:xfrm>
                    <a:prstGeom prst="rect">
                      <a:avLst/>
                    </a:prstGeom>
                    <a:noFill/>
                    <a:ln>
                      <a:noFill/>
                    </a:ln>
                  </pic:spPr>
                </pic:pic>
              </a:graphicData>
            </a:graphic>
          </wp:inline>
        </w:drawing>
      </w:r>
      <w:r>
        <w:rPr>
          <w:rFonts w:eastAsia="Times New Roman"/>
          <w:sz w:val="20"/>
          <w:szCs w:val="20"/>
        </w:rPr>
        <w:t>Fig. D1. One-way sensitivity of oracle cost saving (panel a) and IDI dispute-rate reduction (panel b).</w:t>
      </w:r>
    </w:p>
    <w:bookmarkEnd w:id="0"/>
    <w:p w14:paraId="17FEA041" w14:textId="77777777" w:rsidR="009400EC" w:rsidRDefault="00000000">
      <w:pPr>
        <w:spacing w:before="240" w:after="120" w:line="360" w:lineRule="auto"/>
      </w:pPr>
      <w:r>
        <w:rPr>
          <w:rFonts w:eastAsia="Times New Roman"/>
          <w:b/>
          <w:bCs/>
          <w:sz w:val="24"/>
          <w:szCs w:val="24"/>
        </w:rPr>
        <w:t>D.3 Break-even thresholds as project-selection criteria</w:t>
      </w:r>
    </w:p>
    <w:p w14:paraId="1E56A060" w14:textId="77777777" w:rsidR="009400EC" w:rsidRDefault="00000000">
      <w:pPr>
        <w:spacing w:line="480" w:lineRule="auto"/>
        <w:ind w:firstLine="440"/>
        <w:jc w:val="both"/>
      </w:pPr>
      <w:r>
        <w:rPr>
          <w:rFonts w:eastAsia="Times New Roman"/>
        </w:rPr>
        <w:t>Rather than presenting the sensitivity results as a single point estimate of return on investment, we report the break-even thresholds at which the framework's economic advantage neutralizes. These thresholds function as operational adoption criteria, allowing practitioners to assess framework suitability against project-specific parameters. Table D1 summarizes the thresholds for the four most influential parameters identified in Fig. D1, together with the baseline calibrated value and the implied adoption rule.</w:t>
      </w:r>
    </w:p>
    <w:p w14:paraId="7C5356A4" w14:textId="77777777" w:rsidR="009400EC" w:rsidRDefault="00000000">
      <w:pPr>
        <w:spacing w:after="120" w:line="360" w:lineRule="auto"/>
        <w:jc w:val="center"/>
      </w:pPr>
      <w:r>
        <w:rPr>
          <w:rFonts w:eastAsia="Times New Roman"/>
          <w:sz w:val="20"/>
          <w:szCs w:val="20"/>
        </w:rPr>
        <w:t>Table D1. Break-even thresholds and adoption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100"/>
        <w:gridCol w:w="1100"/>
        <w:gridCol w:w="4960"/>
      </w:tblGrid>
      <w:tr w:rsidR="009400EC" w14:paraId="44F25334" w14:textId="77777777">
        <w:tc>
          <w:tcPr>
            <w:tcW w:w="2200" w:type="dxa"/>
            <w:shd w:val="clear" w:color="auto" w:fill="F2F2F2"/>
            <w:tcMar>
              <w:top w:w="60" w:type="dxa"/>
              <w:left w:w="80" w:type="dxa"/>
              <w:bottom w:w="60" w:type="dxa"/>
              <w:right w:w="80" w:type="dxa"/>
            </w:tcMar>
          </w:tcPr>
          <w:p w14:paraId="242FD4A1" w14:textId="77777777" w:rsidR="009400EC" w:rsidRDefault="00000000">
            <w:pPr>
              <w:spacing w:line="280" w:lineRule="auto"/>
              <w:jc w:val="center"/>
            </w:pPr>
            <w:r>
              <w:rPr>
                <w:rFonts w:eastAsia="Times New Roman"/>
                <w:b/>
                <w:bCs/>
                <w:sz w:val="18"/>
                <w:szCs w:val="18"/>
              </w:rPr>
              <w:t>Parameter</w:t>
            </w:r>
          </w:p>
        </w:tc>
        <w:tc>
          <w:tcPr>
            <w:tcW w:w="1100" w:type="dxa"/>
            <w:shd w:val="clear" w:color="auto" w:fill="F2F2F2"/>
            <w:tcMar>
              <w:top w:w="60" w:type="dxa"/>
              <w:left w:w="80" w:type="dxa"/>
              <w:bottom w:w="60" w:type="dxa"/>
              <w:right w:w="80" w:type="dxa"/>
            </w:tcMar>
          </w:tcPr>
          <w:p w14:paraId="59FCF27D" w14:textId="77777777" w:rsidR="009400EC" w:rsidRDefault="00000000">
            <w:pPr>
              <w:spacing w:line="280" w:lineRule="auto"/>
              <w:jc w:val="center"/>
            </w:pPr>
            <w:r>
              <w:rPr>
                <w:rFonts w:eastAsia="Times New Roman"/>
                <w:b/>
                <w:bCs/>
                <w:sz w:val="18"/>
                <w:szCs w:val="18"/>
              </w:rPr>
              <w:t>Baseline</w:t>
            </w:r>
          </w:p>
        </w:tc>
        <w:tc>
          <w:tcPr>
            <w:tcW w:w="1100" w:type="dxa"/>
            <w:shd w:val="clear" w:color="auto" w:fill="F2F2F2"/>
            <w:tcMar>
              <w:top w:w="60" w:type="dxa"/>
              <w:left w:w="80" w:type="dxa"/>
              <w:bottom w:w="60" w:type="dxa"/>
              <w:right w:w="80" w:type="dxa"/>
            </w:tcMar>
          </w:tcPr>
          <w:p w14:paraId="57EF829F" w14:textId="77777777" w:rsidR="009400EC" w:rsidRDefault="00000000">
            <w:pPr>
              <w:spacing w:line="280" w:lineRule="auto"/>
              <w:jc w:val="center"/>
            </w:pPr>
            <w:r>
              <w:rPr>
                <w:rFonts w:eastAsia="Times New Roman"/>
                <w:b/>
                <w:bCs/>
                <w:sz w:val="18"/>
                <w:szCs w:val="18"/>
              </w:rPr>
              <w:t>Break-even</w:t>
            </w:r>
          </w:p>
        </w:tc>
        <w:tc>
          <w:tcPr>
            <w:tcW w:w="4960" w:type="dxa"/>
            <w:shd w:val="clear" w:color="auto" w:fill="F2F2F2"/>
            <w:tcMar>
              <w:top w:w="60" w:type="dxa"/>
              <w:left w:w="80" w:type="dxa"/>
              <w:bottom w:w="60" w:type="dxa"/>
              <w:right w:w="80" w:type="dxa"/>
            </w:tcMar>
          </w:tcPr>
          <w:p w14:paraId="1A72E61B" w14:textId="77777777" w:rsidR="009400EC" w:rsidRDefault="00000000">
            <w:pPr>
              <w:spacing w:line="280" w:lineRule="auto"/>
              <w:jc w:val="center"/>
            </w:pPr>
            <w:r>
              <w:rPr>
                <w:rFonts w:eastAsia="Times New Roman"/>
                <w:b/>
                <w:bCs/>
                <w:sz w:val="18"/>
                <w:szCs w:val="18"/>
              </w:rPr>
              <w:t>Adoption criterion</w:t>
            </w:r>
          </w:p>
        </w:tc>
      </w:tr>
      <w:tr w:rsidR="009400EC" w14:paraId="0A9EA312" w14:textId="77777777">
        <w:tc>
          <w:tcPr>
            <w:tcW w:w="2200" w:type="dxa"/>
            <w:tcMar>
              <w:top w:w="60" w:type="dxa"/>
              <w:left w:w="80" w:type="dxa"/>
              <w:bottom w:w="60" w:type="dxa"/>
              <w:right w:w="80" w:type="dxa"/>
            </w:tcMar>
          </w:tcPr>
          <w:p w14:paraId="1F6ED0FA" w14:textId="77777777" w:rsidR="009400EC" w:rsidRDefault="00000000">
            <w:pPr>
              <w:spacing w:line="280" w:lineRule="auto"/>
            </w:pPr>
            <w:r>
              <w:rPr>
                <w:rFonts w:eastAsia="Times New Roman"/>
                <w:sz w:val="18"/>
                <w:szCs w:val="18"/>
              </w:rPr>
              <w:t>Baseline noncompliance rate</w:t>
            </w:r>
          </w:p>
        </w:tc>
        <w:tc>
          <w:tcPr>
            <w:tcW w:w="1100" w:type="dxa"/>
            <w:tcMar>
              <w:top w:w="60" w:type="dxa"/>
              <w:left w:w="80" w:type="dxa"/>
              <w:bottom w:w="60" w:type="dxa"/>
              <w:right w:w="80" w:type="dxa"/>
            </w:tcMar>
          </w:tcPr>
          <w:p w14:paraId="7953CD8D" w14:textId="77777777" w:rsidR="009400EC" w:rsidRDefault="00000000">
            <w:pPr>
              <w:spacing w:line="280" w:lineRule="auto"/>
              <w:jc w:val="center"/>
            </w:pPr>
            <w:r>
              <w:rPr>
                <w:rFonts w:eastAsia="Times New Roman"/>
                <w:sz w:val="18"/>
                <w:szCs w:val="18"/>
              </w:rPr>
              <w:t>0.20</w:t>
            </w:r>
          </w:p>
        </w:tc>
        <w:tc>
          <w:tcPr>
            <w:tcW w:w="1100" w:type="dxa"/>
            <w:tcMar>
              <w:top w:w="60" w:type="dxa"/>
              <w:left w:w="80" w:type="dxa"/>
              <w:bottom w:w="60" w:type="dxa"/>
              <w:right w:w="80" w:type="dxa"/>
            </w:tcMar>
          </w:tcPr>
          <w:p w14:paraId="1F01860C" w14:textId="77777777" w:rsidR="009400EC" w:rsidRDefault="00000000">
            <w:pPr>
              <w:spacing w:line="280" w:lineRule="auto"/>
              <w:jc w:val="center"/>
            </w:pPr>
            <w:r>
              <w:rPr>
                <w:rFonts w:eastAsia="Times New Roman"/>
                <w:sz w:val="18"/>
                <w:szCs w:val="18"/>
              </w:rPr>
              <w:t>0.198</w:t>
            </w:r>
          </w:p>
        </w:tc>
        <w:tc>
          <w:tcPr>
            <w:tcW w:w="4960" w:type="dxa"/>
            <w:tcMar>
              <w:top w:w="60" w:type="dxa"/>
              <w:left w:w="80" w:type="dxa"/>
              <w:bottom w:w="60" w:type="dxa"/>
              <w:right w:w="80" w:type="dxa"/>
            </w:tcMar>
          </w:tcPr>
          <w:p w14:paraId="18803C86" w14:textId="77777777" w:rsidR="009400EC" w:rsidRDefault="00000000">
            <w:pPr>
              <w:spacing w:line="280" w:lineRule="auto"/>
              <w:jc w:val="center"/>
            </w:pPr>
            <w:r>
              <w:rPr>
                <w:rFonts w:eastAsia="Times New Roman"/>
                <w:sz w:val="18"/>
                <w:szCs w:val="18"/>
              </w:rPr>
              <w:t>Adoption economically justified for projects with structural noncompliance risk above approximately 20 percent</w:t>
            </w:r>
          </w:p>
        </w:tc>
      </w:tr>
      <w:tr w:rsidR="009400EC" w14:paraId="4D18F8CA" w14:textId="77777777">
        <w:tc>
          <w:tcPr>
            <w:tcW w:w="2200" w:type="dxa"/>
            <w:tcMar>
              <w:top w:w="60" w:type="dxa"/>
              <w:left w:w="80" w:type="dxa"/>
              <w:bottom w:w="60" w:type="dxa"/>
              <w:right w:w="80" w:type="dxa"/>
            </w:tcMar>
          </w:tcPr>
          <w:p w14:paraId="02E29A79" w14:textId="77777777" w:rsidR="009400EC" w:rsidRDefault="00000000">
            <w:pPr>
              <w:spacing w:line="280" w:lineRule="auto"/>
            </w:pPr>
            <w:r>
              <w:rPr>
                <w:rFonts w:eastAsia="Times New Roman"/>
                <w:sz w:val="18"/>
                <w:szCs w:val="18"/>
              </w:rPr>
              <w:t>Oracle true positive rate</w:t>
            </w:r>
          </w:p>
        </w:tc>
        <w:tc>
          <w:tcPr>
            <w:tcW w:w="1100" w:type="dxa"/>
            <w:tcMar>
              <w:top w:w="60" w:type="dxa"/>
              <w:left w:w="80" w:type="dxa"/>
              <w:bottom w:w="60" w:type="dxa"/>
              <w:right w:w="80" w:type="dxa"/>
            </w:tcMar>
          </w:tcPr>
          <w:p w14:paraId="4A4CB886" w14:textId="77777777" w:rsidR="009400EC" w:rsidRDefault="00000000">
            <w:pPr>
              <w:spacing w:line="280" w:lineRule="auto"/>
              <w:jc w:val="center"/>
            </w:pPr>
            <w:r>
              <w:rPr>
                <w:rFonts w:eastAsia="Times New Roman"/>
                <w:sz w:val="18"/>
                <w:szCs w:val="18"/>
              </w:rPr>
              <w:t>0.80</w:t>
            </w:r>
          </w:p>
        </w:tc>
        <w:tc>
          <w:tcPr>
            <w:tcW w:w="1100" w:type="dxa"/>
            <w:tcMar>
              <w:top w:w="60" w:type="dxa"/>
              <w:left w:w="80" w:type="dxa"/>
              <w:bottom w:w="60" w:type="dxa"/>
              <w:right w:w="80" w:type="dxa"/>
            </w:tcMar>
          </w:tcPr>
          <w:p w14:paraId="7C4FB8BB" w14:textId="77777777" w:rsidR="009400EC" w:rsidRDefault="00000000">
            <w:pPr>
              <w:spacing w:line="280" w:lineRule="auto"/>
              <w:jc w:val="center"/>
            </w:pPr>
            <w:r>
              <w:rPr>
                <w:rFonts w:eastAsia="Times New Roman"/>
                <w:sz w:val="18"/>
                <w:szCs w:val="18"/>
              </w:rPr>
              <w:t>0.793</w:t>
            </w:r>
          </w:p>
        </w:tc>
        <w:tc>
          <w:tcPr>
            <w:tcW w:w="4960" w:type="dxa"/>
            <w:tcMar>
              <w:top w:w="60" w:type="dxa"/>
              <w:left w:w="80" w:type="dxa"/>
              <w:bottom w:w="60" w:type="dxa"/>
              <w:right w:w="80" w:type="dxa"/>
            </w:tcMar>
          </w:tcPr>
          <w:p w14:paraId="196EDCCA" w14:textId="77777777" w:rsidR="009400EC" w:rsidRDefault="00000000">
            <w:pPr>
              <w:spacing w:line="280" w:lineRule="auto"/>
              <w:jc w:val="center"/>
            </w:pPr>
            <w:r>
              <w:rPr>
                <w:rFonts w:eastAsia="Times New Roman"/>
                <w:sz w:val="18"/>
                <w:szCs w:val="18"/>
              </w:rPr>
              <w:t>Oracle technology must achieve detection capability above 79 percent</w:t>
            </w:r>
          </w:p>
        </w:tc>
      </w:tr>
      <w:tr w:rsidR="009400EC" w14:paraId="2942E9CB" w14:textId="77777777">
        <w:tc>
          <w:tcPr>
            <w:tcW w:w="2200" w:type="dxa"/>
            <w:tcMar>
              <w:top w:w="60" w:type="dxa"/>
              <w:left w:w="80" w:type="dxa"/>
              <w:bottom w:w="60" w:type="dxa"/>
              <w:right w:w="80" w:type="dxa"/>
            </w:tcMar>
          </w:tcPr>
          <w:p w14:paraId="520D3B31" w14:textId="77777777" w:rsidR="009400EC" w:rsidRDefault="00000000">
            <w:pPr>
              <w:spacing w:line="280" w:lineRule="auto"/>
            </w:pPr>
            <w:r>
              <w:rPr>
                <w:rFonts w:eastAsia="Times New Roman"/>
                <w:sz w:val="18"/>
                <w:szCs w:val="18"/>
              </w:rPr>
              <w:t>Late remediation cost (relative units)</w:t>
            </w:r>
          </w:p>
        </w:tc>
        <w:tc>
          <w:tcPr>
            <w:tcW w:w="1100" w:type="dxa"/>
            <w:tcMar>
              <w:top w:w="60" w:type="dxa"/>
              <w:left w:w="80" w:type="dxa"/>
              <w:bottom w:w="60" w:type="dxa"/>
              <w:right w:w="80" w:type="dxa"/>
            </w:tcMar>
          </w:tcPr>
          <w:p w14:paraId="60A4B086" w14:textId="77777777" w:rsidR="009400EC" w:rsidRDefault="00000000">
            <w:pPr>
              <w:spacing w:line="280" w:lineRule="auto"/>
              <w:jc w:val="center"/>
            </w:pPr>
            <w:r>
              <w:rPr>
                <w:rFonts w:eastAsia="Times New Roman"/>
                <w:sz w:val="18"/>
                <w:szCs w:val="18"/>
              </w:rPr>
              <w:t>120</w:t>
            </w:r>
          </w:p>
        </w:tc>
        <w:tc>
          <w:tcPr>
            <w:tcW w:w="1100" w:type="dxa"/>
            <w:tcMar>
              <w:top w:w="60" w:type="dxa"/>
              <w:left w:w="80" w:type="dxa"/>
              <w:bottom w:w="60" w:type="dxa"/>
              <w:right w:w="80" w:type="dxa"/>
            </w:tcMar>
          </w:tcPr>
          <w:p w14:paraId="2914E9D6" w14:textId="77777777" w:rsidR="009400EC" w:rsidRDefault="00000000">
            <w:pPr>
              <w:spacing w:line="280" w:lineRule="auto"/>
              <w:jc w:val="center"/>
            </w:pPr>
            <w:r>
              <w:rPr>
                <w:rFonts w:eastAsia="Times New Roman"/>
                <w:sz w:val="18"/>
                <w:szCs w:val="18"/>
              </w:rPr>
              <w:t>118.8</w:t>
            </w:r>
          </w:p>
        </w:tc>
        <w:tc>
          <w:tcPr>
            <w:tcW w:w="4960" w:type="dxa"/>
            <w:tcMar>
              <w:top w:w="60" w:type="dxa"/>
              <w:left w:w="80" w:type="dxa"/>
              <w:bottom w:w="60" w:type="dxa"/>
              <w:right w:w="80" w:type="dxa"/>
            </w:tcMar>
          </w:tcPr>
          <w:p w14:paraId="225B7276" w14:textId="77777777" w:rsidR="009400EC" w:rsidRDefault="00000000">
            <w:pPr>
              <w:spacing w:line="280" w:lineRule="auto"/>
              <w:jc w:val="center"/>
            </w:pPr>
            <w:r>
              <w:rPr>
                <w:rFonts w:eastAsia="Times New Roman"/>
                <w:sz w:val="18"/>
                <w:szCs w:val="18"/>
              </w:rPr>
              <w:t>Projects in which late-stage failure cost exceeds approximately 6.6 times the pre-delivery rework cost</w:t>
            </w:r>
          </w:p>
        </w:tc>
      </w:tr>
      <w:tr w:rsidR="009400EC" w14:paraId="7F1078B3" w14:textId="77777777">
        <w:tc>
          <w:tcPr>
            <w:tcW w:w="2200" w:type="dxa"/>
            <w:tcMar>
              <w:top w:w="60" w:type="dxa"/>
              <w:left w:w="80" w:type="dxa"/>
              <w:bottom w:w="60" w:type="dxa"/>
              <w:right w:w="80" w:type="dxa"/>
            </w:tcMar>
          </w:tcPr>
          <w:p w14:paraId="070FCAD2" w14:textId="77777777" w:rsidR="009400EC" w:rsidRDefault="00000000">
            <w:pPr>
              <w:spacing w:line="280" w:lineRule="auto"/>
            </w:pPr>
            <w:r>
              <w:rPr>
                <w:rFonts w:eastAsia="Times New Roman"/>
                <w:sz w:val="18"/>
                <w:szCs w:val="18"/>
              </w:rPr>
              <w:t>Latent failure probability (10 years)</w:t>
            </w:r>
          </w:p>
        </w:tc>
        <w:tc>
          <w:tcPr>
            <w:tcW w:w="1100" w:type="dxa"/>
            <w:tcMar>
              <w:top w:w="60" w:type="dxa"/>
              <w:left w:w="80" w:type="dxa"/>
              <w:bottom w:w="60" w:type="dxa"/>
              <w:right w:w="80" w:type="dxa"/>
            </w:tcMar>
          </w:tcPr>
          <w:p w14:paraId="03E48501" w14:textId="77777777" w:rsidR="009400EC" w:rsidRDefault="00000000">
            <w:pPr>
              <w:spacing w:line="280" w:lineRule="auto"/>
              <w:jc w:val="center"/>
            </w:pPr>
            <w:r>
              <w:rPr>
                <w:rFonts w:eastAsia="Times New Roman"/>
                <w:sz w:val="18"/>
                <w:szCs w:val="18"/>
              </w:rPr>
              <w:t>0.45</w:t>
            </w:r>
          </w:p>
        </w:tc>
        <w:tc>
          <w:tcPr>
            <w:tcW w:w="1100" w:type="dxa"/>
            <w:tcMar>
              <w:top w:w="60" w:type="dxa"/>
              <w:left w:w="80" w:type="dxa"/>
              <w:bottom w:w="60" w:type="dxa"/>
              <w:right w:w="80" w:type="dxa"/>
            </w:tcMar>
          </w:tcPr>
          <w:p w14:paraId="70CF1901" w14:textId="77777777" w:rsidR="009400EC" w:rsidRDefault="00000000">
            <w:pPr>
              <w:spacing w:line="280" w:lineRule="auto"/>
              <w:jc w:val="center"/>
            </w:pPr>
            <w:r>
              <w:rPr>
                <w:rFonts w:eastAsia="Times New Roman"/>
                <w:sz w:val="18"/>
                <w:szCs w:val="18"/>
              </w:rPr>
              <w:t>0.446</w:t>
            </w:r>
          </w:p>
        </w:tc>
        <w:tc>
          <w:tcPr>
            <w:tcW w:w="4960" w:type="dxa"/>
            <w:tcMar>
              <w:top w:w="60" w:type="dxa"/>
              <w:left w:w="80" w:type="dxa"/>
              <w:bottom w:w="60" w:type="dxa"/>
              <w:right w:w="80" w:type="dxa"/>
            </w:tcMar>
          </w:tcPr>
          <w:p w14:paraId="53FF2A8E" w14:textId="77777777" w:rsidR="009400EC" w:rsidRDefault="00000000">
            <w:pPr>
              <w:spacing w:line="280" w:lineRule="auto"/>
              <w:jc w:val="center"/>
            </w:pPr>
            <w:r>
              <w:rPr>
                <w:rFonts w:eastAsia="Times New Roman"/>
                <w:sz w:val="18"/>
                <w:szCs w:val="18"/>
              </w:rPr>
              <w:t>High-stakes structural elements in which more than 45 percent of undetected noncompliance manifests within the defect liability period</w:t>
            </w:r>
          </w:p>
        </w:tc>
      </w:tr>
    </w:tbl>
    <w:p w14:paraId="35F3798B" w14:textId="77777777" w:rsidR="009400EC" w:rsidRDefault="00000000">
      <w:pPr>
        <w:spacing w:before="240" w:after="120" w:line="360" w:lineRule="auto"/>
      </w:pPr>
      <w:r>
        <w:rPr>
          <w:rFonts w:eastAsia="Times New Roman"/>
          <w:b/>
          <w:bCs/>
          <w:sz w:val="24"/>
          <w:szCs w:val="24"/>
        </w:rPr>
        <w:t>D.4 Consequence-scaled analysis</w:t>
      </w:r>
    </w:p>
    <w:p w14:paraId="588A8F8E" w14:textId="77777777" w:rsidR="009400EC" w:rsidRDefault="00000000">
      <w:pPr>
        <w:spacing w:line="480" w:lineRule="auto"/>
        <w:ind w:firstLine="440"/>
        <w:jc w:val="both"/>
      </w:pPr>
      <w:r>
        <w:rPr>
          <w:rFonts w:eastAsia="Times New Roman"/>
        </w:rPr>
        <w:t xml:space="preserve">The baseline calibration of </w:t>
      </w:r>
      <w:proofErr w:type="spellStart"/>
      <w:r>
        <w:rPr>
          <w:rFonts w:eastAsia="Times New Roman"/>
        </w:rPr>
        <w:t>cost_late_remediation</w:t>
      </w:r>
      <w:proofErr w:type="spellEnd"/>
      <w:r>
        <w:rPr>
          <w:rFonts w:eastAsia="Times New Roman"/>
        </w:rPr>
        <w:t xml:space="preserve"> at 120 relative units captures direct remediation </w:t>
      </w:r>
      <w:r>
        <w:rPr>
          <w:rFonts w:eastAsia="Times New Roman"/>
        </w:rPr>
        <w:lastRenderedPageBreak/>
        <w:t>expenditure but omits the consequential loss exposure intrinsic to structural RMC quality failure: life-safety incidents, third-party liability, reputational damage, insurance claims, and regulatory penalties. Industry experience and concrete-structural failure case studies indicate that consequential losses associated with a single load-bearing failure can exceed direct remediation cost by one to two orders of magnitude. The direct-remediation calibration therefore represents a conservative lower bound on the true late-stage cost faced by stakeholders in safety-critical RMC applications.</w:t>
      </w:r>
    </w:p>
    <w:p w14:paraId="56B20E0E" w14:textId="77777777" w:rsidR="009400EC" w:rsidRDefault="00000000">
      <w:pPr>
        <w:spacing w:line="480" w:lineRule="auto"/>
        <w:ind w:firstLine="440"/>
        <w:jc w:val="both"/>
      </w:pPr>
      <w:r>
        <w:rPr>
          <w:rFonts w:eastAsia="Times New Roman"/>
        </w:rPr>
        <w:t>To examine how this omitted exposure affects the framework's economic case, we swept the late-stage failure cost from 120 (direct remediation only) to 2,400 (twenty times the direct-cost baseline) while holding all other parameters at their baseline values. Fig. D2 reports the resulting cost saving of oracle-only and oracle-plus-IDI configurations relative to the no-oracle baseline.</w:t>
      </w:r>
    </w:p>
    <w:p w14:paraId="07D21644" w14:textId="77777777" w:rsidR="009400EC" w:rsidRDefault="00000000">
      <w:pPr>
        <w:spacing w:after="120"/>
        <w:jc w:val="center"/>
      </w:pPr>
      <w:bookmarkStart w:id="1" w:name="_Hlk229423047"/>
      <w:r>
        <w:rPr>
          <w:noProof/>
        </w:rPr>
        <w:drawing>
          <wp:inline distT="0" distB="0" distL="0" distR="0" wp14:anchorId="358C5A46" wp14:editId="427EEB4C">
            <wp:extent cx="4953000" cy="2980195"/>
            <wp:effectExtent l="0" t="0" r="0" b="0"/>
            <wp:docPr id="418019196" name="fig_con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19196" name="fig_consequence.png"/>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953000" cy="2980195"/>
                    </a:xfrm>
                    <a:prstGeom prst="rect">
                      <a:avLst/>
                    </a:prstGeom>
                  </pic:spPr>
                </pic:pic>
              </a:graphicData>
            </a:graphic>
          </wp:inline>
        </w:drawing>
      </w:r>
    </w:p>
    <w:p w14:paraId="21ACE6C0" w14:textId="77777777" w:rsidR="009400EC" w:rsidRDefault="00000000">
      <w:pPr>
        <w:spacing w:after="120" w:line="360" w:lineRule="auto"/>
        <w:jc w:val="center"/>
      </w:pPr>
      <w:r>
        <w:rPr>
          <w:rFonts w:eastAsia="Times New Roman"/>
          <w:sz w:val="20"/>
          <w:szCs w:val="20"/>
        </w:rPr>
        <w:t>Fig. D2. Framework cost saving under consequence-scaled late-failure costs.</w:t>
      </w:r>
    </w:p>
    <w:bookmarkEnd w:id="1"/>
    <w:p w14:paraId="011D2880" w14:textId="77777777" w:rsidR="009400EC" w:rsidRDefault="00000000">
      <w:pPr>
        <w:spacing w:line="480" w:lineRule="auto"/>
        <w:ind w:firstLine="440"/>
        <w:jc w:val="both"/>
      </w:pPr>
      <w:r>
        <w:rPr>
          <w:rFonts w:eastAsia="Times New Roman"/>
        </w:rPr>
        <w:t xml:space="preserve">Two findings are evident. First, oracle adoption yields positive cost saving across the entire consequence-scaled range, with savings increasing linearly with late-stage cost. Second, the oracle-plus-IDI configuration crosses into net positive saving once the late-stage failure cost exceeds approximately twice the direct-remediation baseline, a threshold readily met whenever any meaningful share of failures triggers third-party liability or reputational loss. At a consequence multiplier of ten, which is consistent </w:t>
      </w:r>
      <w:r>
        <w:rPr>
          <w:rFonts w:eastAsia="Times New Roman"/>
        </w:rPr>
        <w:lastRenderedPageBreak/>
        <w:t>with documented structural-failure case studies, the framework saves on the order of 1.1 to 1.2 million relative cost units across the simulated batch portfolio. These results show that the economic case for the framework strengthens substantially when life-safety and liability exposure are accounted for, even before the introduction of any new field cost measurements.</w:t>
      </w:r>
    </w:p>
    <w:p w14:paraId="55E152CE" w14:textId="77777777" w:rsidR="00B9135F" w:rsidRDefault="00B9135F" w:rsidP="00B9135F">
      <w:pPr>
        <w:spacing w:line="480" w:lineRule="auto"/>
        <w:ind w:firstLine="440"/>
        <w:jc w:val="both"/>
      </w:pPr>
      <w:r>
        <w:rPr>
          <w:rFonts w:eastAsia="Times New Roman"/>
        </w:rPr>
        <w:t>Three findings of methodological significance emerge from the sensitivity analysis. First, the framework's economic value is demonstrably risk-dependent rather than universal: oracle adoption is most clearly justified for projects with elevated quality risk profiles, consistent with the targeted-deployment philosophy already articulated for selective oracle use. Second, the IDI mechanism delivers stable dispute-rate reduction across the calibrated parameter space, contributing governance value that is largely independent of direct cost-saving considerations. Third, once consequential losses from structural failure are incorporated even at a conservative two-times multiplier of the direct-remediation cost, the framework as a whole delivers positive net saving, and the magnitude of saving scales linearly with the severity of downstream consequences.</w:t>
      </w:r>
    </w:p>
    <w:p w14:paraId="40327F3B" w14:textId="77777777" w:rsidR="00B9135F" w:rsidRDefault="00B9135F" w:rsidP="00B9135F">
      <w:pPr>
        <w:spacing w:line="480" w:lineRule="auto"/>
        <w:ind w:firstLine="440"/>
        <w:jc w:val="both"/>
      </w:pPr>
      <w:r>
        <w:rPr>
          <w:rFonts w:eastAsia="Times New Roman"/>
        </w:rPr>
        <w:t>The break-even thresholds reported in Table D1 are intended to function as actionable project-selection criteria rather than as universal endorsement of framework adoption. Their empirical refinement remains contingent on multi-project pilot deployment, as detailed in the Future Work discussion in the main text. Within the current analysis, the conclusion that the framework delivers material governance and economic value under reasonable assumptions about structural failure consequences is robust to the parameter uncertainty inherent in any pre-deployment cost-benefit assessment.</w:t>
      </w:r>
    </w:p>
    <w:p w14:paraId="56A75452" w14:textId="45ED05D2" w:rsidR="009400EC" w:rsidRPr="00C03451" w:rsidRDefault="00000000">
      <w:pPr>
        <w:spacing w:before="240" w:after="120" w:line="360" w:lineRule="auto"/>
        <w:rPr>
          <w:rFonts w:hint="eastAsia"/>
        </w:rPr>
      </w:pPr>
      <w:r>
        <w:rPr>
          <w:rFonts w:eastAsia="Times New Roman"/>
          <w:b/>
          <w:bCs/>
          <w:sz w:val="24"/>
          <w:szCs w:val="24"/>
        </w:rPr>
        <w:t>D.5 Robustness</w:t>
      </w:r>
      <w:r w:rsidR="00C03451">
        <w:rPr>
          <w:rFonts w:hint="eastAsia"/>
          <w:b/>
          <w:bCs/>
          <w:sz w:val="24"/>
          <w:szCs w:val="24"/>
        </w:rPr>
        <w:t xml:space="preserve"> of IDI</w:t>
      </w:r>
    </w:p>
    <w:p w14:paraId="3B394698" w14:textId="5D118414" w:rsidR="00C03451" w:rsidRPr="00B9135F" w:rsidRDefault="00C03451" w:rsidP="00B9135F">
      <w:pPr>
        <w:spacing w:line="480" w:lineRule="auto"/>
        <w:ind w:firstLine="440"/>
        <w:jc w:val="both"/>
        <w:rPr>
          <w:rFonts w:hint="eastAsia"/>
        </w:rPr>
      </w:pPr>
      <w:r w:rsidRPr="00C03451">
        <w:rPr>
          <w:rFonts w:eastAsia="Times New Roman"/>
        </w:rPr>
        <w:t>The analysis is conducted in the consequence-scaled regime of Section D.4, since this is the regime in which the framework's economic value materializes and is therefore the appropriate regime for stress-testing IDI parameter assumptions.</w:t>
      </w:r>
      <w:r w:rsidR="00B9135F">
        <w:rPr>
          <w:rFonts w:hint="eastAsia"/>
        </w:rPr>
        <w:t xml:space="preserve"> </w:t>
      </w:r>
      <w:r w:rsidRPr="00C03451">
        <w:rPr>
          <w:rFonts w:eastAsia="Times New Roman"/>
        </w:rPr>
        <w:t>Payout ranges are bracketed at 0.5 to 3 times the consequence-scaled baseline to span the range of per-incident caps documented in published ruin-theory analyses of actuarial practice.</w:t>
      </w:r>
    </w:p>
    <w:p w14:paraId="738CFD49" w14:textId="52A34817" w:rsidR="00BD1A57" w:rsidRPr="00C03451" w:rsidRDefault="00C03451" w:rsidP="00C03451">
      <w:pPr>
        <w:spacing w:line="480" w:lineRule="auto"/>
        <w:ind w:firstLine="440"/>
        <w:jc w:val="both"/>
        <w:rPr>
          <w:rFonts w:eastAsia="Times New Roman"/>
        </w:rPr>
      </w:pPr>
      <w:r w:rsidRPr="00C03451">
        <w:rPr>
          <w:rFonts w:eastAsia="Times New Roman"/>
        </w:rPr>
        <w:lastRenderedPageBreak/>
        <w:t>Four outcome metrics are reported, all of which respond to IDI parameters by construction</w:t>
      </w:r>
      <w:r w:rsidR="00B9135F">
        <w:rPr>
          <w:rFonts w:hint="eastAsia"/>
        </w:rPr>
        <w:t xml:space="preserve">. </w:t>
      </w:r>
      <w:r w:rsidRPr="00C03451">
        <w:rPr>
          <w:rFonts w:eastAsia="Times New Roman"/>
        </w:rPr>
        <w:t>The metrics are: net cost saving of Oracle + IDI relative to the no-oracle baseline; marginal IDI benefit, defined as the cost saving of Oracle + IDI relative to Oracle only and which directly answers the reviewer's premium-adjustment concern; insurer expected loss ratio, defined as cumulative payouts divided by cumulative premiums and which is the actuarial-language counterpart of the cost metrics; and producer break-even premium, defined as the premium per batch at which Oracle + IDI total cost equals Oracle-only total cost.</w:t>
      </w:r>
    </w:p>
    <w:p w14:paraId="360D1E24" w14:textId="7677F8B4" w:rsidR="00635317" w:rsidRDefault="00BD1A57" w:rsidP="00635317">
      <w:pPr>
        <w:spacing w:line="480" w:lineRule="auto"/>
        <w:jc w:val="both"/>
      </w:pPr>
      <w:r>
        <w:rPr>
          <w:noProof/>
        </w:rPr>
        <w:drawing>
          <wp:inline distT="0" distB="0" distL="0" distR="0" wp14:anchorId="290A2741" wp14:editId="31136543">
            <wp:extent cx="5948680" cy="4389120"/>
            <wp:effectExtent l="0" t="0" r="0" b="0"/>
            <wp:docPr id="133751135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8680" cy="4389120"/>
                    </a:xfrm>
                    <a:prstGeom prst="rect">
                      <a:avLst/>
                    </a:prstGeom>
                    <a:noFill/>
                    <a:ln>
                      <a:noFill/>
                    </a:ln>
                  </pic:spPr>
                </pic:pic>
              </a:graphicData>
            </a:graphic>
          </wp:inline>
        </w:drawing>
      </w:r>
    </w:p>
    <w:p w14:paraId="5D0AE905" w14:textId="7D563027" w:rsidR="00B9135F" w:rsidRDefault="00B9135F" w:rsidP="00B9135F">
      <w:pPr>
        <w:spacing w:after="120" w:line="360" w:lineRule="auto"/>
        <w:jc w:val="center"/>
      </w:pPr>
      <w:r>
        <w:rPr>
          <w:rFonts w:eastAsia="Times New Roman"/>
          <w:sz w:val="20"/>
          <w:szCs w:val="20"/>
        </w:rPr>
        <w:t xml:space="preserve">Fig. </w:t>
      </w:r>
      <w:r w:rsidRPr="00B9135F">
        <w:rPr>
          <w:rFonts w:eastAsia="Times New Roman"/>
          <w:sz w:val="20"/>
          <w:szCs w:val="20"/>
        </w:rPr>
        <w:t>D3. IDI-isolated robustness panel. (a) Premium sensitivity of net cost saving and insurer expected loss ratio. (b) Payout sensitivity of net cost saving and marginal IDI benefit. (c) Behavioral sensitivity of net saving and fraud-attempt rate to the deterrence factor. (d) Joint (premium x deterrence) feasibility region for marginal IDI benefit; the zero contour delineates the IDI break-even frontier.</w:t>
      </w:r>
    </w:p>
    <w:p w14:paraId="63332D9E" w14:textId="5748A20B" w:rsidR="00B9135F" w:rsidRDefault="00B9135F" w:rsidP="00B9135F">
      <w:pPr>
        <w:spacing w:line="480" w:lineRule="auto"/>
        <w:ind w:firstLine="440"/>
        <w:jc w:val="both"/>
      </w:pPr>
      <w:r>
        <w:t xml:space="preserve">Fig. D3 Panel (a) shows that the framework remains net cost-saving across the full premium sweep, </w:t>
      </w:r>
      <w:r>
        <w:lastRenderedPageBreak/>
        <w:t>while the simulated insurer loss ratio at the calibrated baseline lies above the 30 to 60 percent band associated with mature insurance markets and approaches the upper band only at premiums in the upper half of the actuarial envelope; this quantifies the producer-affordability versus insurer-sustainability tension that the reviewer highlighted. Panel (b) shows that net saving and marginal IDI benefit both increase monotonically with payout magnitude over the swept range, with the marginal IDI contribution crossing into positive territory as payouts scale toward life-safety-inclusive consequence costs. Panel (c) shows that fraud-attempt rate declines monotonically with deterrence, confirming the modeled behavioral channel responds correctly, while net saving improves modestly with deterrence and marginal IDI benefit transitions from negative to positive in the upper portion of the deterrence range.</w:t>
      </w:r>
    </w:p>
    <w:p w14:paraId="3D69FCC9" w14:textId="1FB4ECD5" w:rsidR="00B9135F" w:rsidRDefault="00B9135F" w:rsidP="00B9135F">
      <w:pPr>
        <w:spacing w:line="480" w:lineRule="auto"/>
        <w:ind w:firstLine="440"/>
        <w:jc w:val="both"/>
      </w:pPr>
      <w:r>
        <w:t xml:space="preserve">Panel (d) is the most reviewer-relevant view. It presents the marginal IDI benefit across the joint (premium, deterrence) parameter space, with the </w:t>
      </w:r>
      <w:r>
        <w:t>zero-contour</w:t>
      </w:r>
      <w:r>
        <w:t xml:space="preserve"> delineating the IDI break-even frontier. The feasibility region in which adding IDI on top of Oracle is marginally cost-saving corresponds to the upper-left of the heatmap (high deterrence and competitively priced premium); the lower-right region in which marginal IDI benefit is negative corresponds to the regime in which premium loading exceeds the behavioral saving and Oracle-only delivers a cheaper outcome. Producer break-even premium values, tabulated alongside the figure as Table D2, rise from approximately 1.3 relative units at deterrence 0.05 to approximately 10.1 relative units at deterrence 0.50, providing an actionable benchmark for negotiating IDI premium structures with underwriters in any future field pilot.</w:t>
      </w:r>
    </w:p>
    <w:p w14:paraId="26138490" w14:textId="4B763B76" w:rsidR="00B9135F" w:rsidRDefault="00B9135F" w:rsidP="00B9135F">
      <w:pPr>
        <w:spacing w:line="480" w:lineRule="auto"/>
        <w:ind w:firstLine="440"/>
        <w:jc w:val="both"/>
      </w:pPr>
      <w:r>
        <w:t>Two policy-relevant observations follow. First, the framework's headline economic conclusions are robust to IDI parameter perturbations across the full actuarial envelope: the net cost saving of Oracle + IDI vs Baseline remains strictly positive throughout. Second, the marginal contribution of IDI specifically, beyond the contribution already delivered by Oracle detection, is conditional on the joint setting of premium and behavioral deterrence.</w:t>
      </w:r>
    </w:p>
    <w:p w14:paraId="6E8CD539" w14:textId="11268690" w:rsidR="009400EC" w:rsidRDefault="009400EC">
      <w:pPr>
        <w:spacing w:line="480" w:lineRule="auto"/>
        <w:ind w:firstLine="440"/>
        <w:jc w:val="both"/>
      </w:pPr>
    </w:p>
    <w:sectPr w:rsidR="009400EC">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3D16A" w14:textId="77777777" w:rsidR="005D0BF7" w:rsidRDefault="005D0BF7" w:rsidP="000F6A05">
      <w:r>
        <w:separator/>
      </w:r>
    </w:p>
  </w:endnote>
  <w:endnote w:type="continuationSeparator" w:id="0">
    <w:p w14:paraId="0F80B02F" w14:textId="77777777" w:rsidR="005D0BF7" w:rsidRDefault="005D0BF7" w:rsidP="000F6A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BD86A" w14:textId="77777777" w:rsidR="005D0BF7" w:rsidRDefault="005D0BF7" w:rsidP="000F6A05">
      <w:r>
        <w:separator/>
      </w:r>
    </w:p>
  </w:footnote>
  <w:footnote w:type="continuationSeparator" w:id="0">
    <w:p w14:paraId="1713DB44" w14:textId="77777777" w:rsidR="005D0BF7" w:rsidRDefault="005D0BF7" w:rsidP="000F6A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6C3CCA"/>
    <w:multiLevelType w:val="hybridMultilevel"/>
    <w:tmpl w:val="8934F53C"/>
    <w:lvl w:ilvl="0" w:tplc="C04A5A5A">
      <w:start w:val="1"/>
      <w:numFmt w:val="bullet"/>
      <w:lvlText w:val="●"/>
      <w:lvlJc w:val="left"/>
      <w:pPr>
        <w:ind w:left="720" w:hanging="360"/>
      </w:pPr>
    </w:lvl>
    <w:lvl w:ilvl="1" w:tplc="84948724">
      <w:start w:val="1"/>
      <w:numFmt w:val="bullet"/>
      <w:lvlText w:val="○"/>
      <w:lvlJc w:val="left"/>
      <w:pPr>
        <w:ind w:left="1440" w:hanging="360"/>
      </w:pPr>
    </w:lvl>
    <w:lvl w:ilvl="2" w:tplc="F8AC9B8E">
      <w:start w:val="1"/>
      <w:numFmt w:val="bullet"/>
      <w:lvlText w:val="■"/>
      <w:lvlJc w:val="left"/>
      <w:pPr>
        <w:ind w:left="2160" w:hanging="360"/>
      </w:pPr>
    </w:lvl>
    <w:lvl w:ilvl="3" w:tplc="396663EA">
      <w:start w:val="1"/>
      <w:numFmt w:val="bullet"/>
      <w:lvlText w:val="●"/>
      <w:lvlJc w:val="left"/>
      <w:pPr>
        <w:ind w:left="2880" w:hanging="360"/>
      </w:pPr>
    </w:lvl>
    <w:lvl w:ilvl="4" w:tplc="695AFE96">
      <w:start w:val="1"/>
      <w:numFmt w:val="bullet"/>
      <w:lvlText w:val="○"/>
      <w:lvlJc w:val="left"/>
      <w:pPr>
        <w:ind w:left="3600" w:hanging="360"/>
      </w:pPr>
    </w:lvl>
    <w:lvl w:ilvl="5" w:tplc="5EA0BC50">
      <w:start w:val="1"/>
      <w:numFmt w:val="bullet"/>
      <w:lvlText w:val="■"/>
      <w:lvlJc w:val="left"/>
      <w:pPr>
        <w:ind w:left="4320" w:hanging="360"/>
      </w:pPr>
    </w:lvl>
    <w:lvl w:ilvl="6" w:tplc="029436DC">
      <w:start w:val="1"/>
      <w:numFmt w:val="bullet"/>
      <w:lvlText w:val="●"/>
      <w:lvlJc w:val="left"/>
      <w:pPr>
        <w:ind w:left="5040" w:hanging="360"/>
      </w:pPr>
    </w:lvl>
    <w:lvl w:ilvl="7" w:tplc="158CF84E">
      <w:start w:val="1"/>
      <w:numFmt w:val="bullet"/>
      <w:lvlText w:val="●"/>
      <w:lvlJc w:val="left"/>
      <w:pPr>
        <w:ind w:left="5760" w:hanging="360"/>
      </w:pPr>
    </w:lvl>
    <w:lvl w:ilvl="8" w:tplc="5128D1EC">
      <w:start w:val="1"/>
      <w:numFmt w:val="bullet"/>
      <w:lvlText w:val="●"/>
      <w:lvlJc w:val="left"/>
      <w:pPr>
        <w:ind w:left="6480" w:hanging="360"/>
      </w:pPr>
    </w:lvl>
  </w:abstractNum>
  <w:num w:numId="1" w16cid:durableId="12306490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00EC"/>
    <w:rsid w:val="000F6A05"/>
    <w:rsid w:val="00107463"/>
    <w:rsid w:val="0028446E"/>
    <w:rsid w:val="003227B3"/>
    <w:rsid w:val="005D0BF7"/>
    <w:rsid w:val="005E1A39"/>
    <w:rsid w:val="00635317"/>
    <w:rsid w:val="006D4A40"/>
    <w:rsid w:val="009400EC"/>
    <w:rsid w:val="009B6EEB"/>
    <w:rsid w:val="00AA1A50"/>
    <w:rsid w:val="00B016C4"/>
    <w:rsid w:val="00B9135F"/>
    <w:rsid w:val="00BD1A57"/>
    <w:rsid w:val="00C03451"/>
    <w:rsid w:val="00F41C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885D17"/>
  <w15:docId w15:val="{E07C7E11-8459-425F-8DB3-C096D164F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35F"/>
    <w:pPr>
      <w:widowControl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0F6A05"/>
    <w:pPr>
      <w:tabs>
        <w:tab w:val="center" w:pos="4153"/>
        <w:tab w:val="right" w:pos="8306"/>
      </w:tabs>
      <w:snapToGrid w:val="0"/>
      <w:jc w:val="center"/>
    </w:pPr>
    <w:rPr>
      <w:sz w:val="18"/>
      <w:szCs w:val="18"/>
    </w:rPr>
  </w:style>
  <w:style w:type="character" w:customStyle="1" w:styleId="ad">
    <w:name w:val="页眉 字符"/>
    <w:basedOn w:val="a0"/>
    <w:link w:val="ac"/>
    <w:uiPriority w:val="99"/>
    <w:rsid w:val="000F6A05"/>
    <w:rPr>
      <w:sz w:val="18"/>
      <w:szCs w:val="18"/>
    </w:rPr>
  </w:style>
  <w:style w:type="paragraph" w:styleId="ae">
    <w:name w:val="footer"/>
    <w:basedOn w:val="a"/>
    <w:link w:val="af"/>
    <w:uiPriority w:val="99"/>
    <w:unhideWhenUsed/>
    <w:rsid w:val="000F6A05"/>
    <w:pPr>
      <w:tabs>
        <w:tab w:val="center" w:pos="4153"/>
        <w:tab w:val="right" w:pos="8306"/>
      </w:tabs>
      <w:snapToGrid w:val="0"/>
    </w:pPr>
    <w:rPr>
      <w:sz w:val="18"/>
      <w:szCs w:val="18"/>
    </w:rPr>
  </w:style>
  <w:style w:type="character" w:customStyle="1" w:styleId="af">
    <w:name w:val="页脚 字符"/>
    <w:basedOn w:val="a0"/>
    <w:link w:val="ae"/>
    <w:uiPriority w:val="99"/>
    <w:rsid w:val="000F6A0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6</Pages>
  <Words>1635</Words>
  <Characters>9324</Characters>
  <Application>Microsoft Office Word</Application>
  <DocSecurity>0</DocSecurity>
  <Lines>77</Lines>
  <Paragraphs>21</Paragraphs>
  <ScaleCrop>false</ScaleCrop>
  <Company/>
  <LinksUpToDate>false</LinksUpToDate>
  <CharactersWithSpaces>10938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junyu li</cp:lastModifiedBy>
  <cp:revision>6</cp:revision>
  <dcterms:created xsi:type="dcterms:W3CDTF">2026-05-11T05:05:00Z</dcterms:created>
  <dcterms:modified xsi:type="dcterms:W3CDTF">2026-05-20T10:17:00Z</dcterms:modified>
</cp:coreProperties>
</file>