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GitHub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Cuenta y acceso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Incluye registro, autenticación en dos pasos y carga de la clave SSH pública (Settings → SSH and GPG keys).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HTTPS, GitHub ya no admite contraseñas en operaciones Git y exige un token de acceso personal.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Contribución a proyectos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Fork</w:t>
      </w:r>
      <w:r>
        <w:rPr>
          <w:rFonts w:ascii="Times New Roman" w:hAnsi="Times New Roman" w:cs="Times New Roman"/>
        </w:rPr>
        <w:t xml:space="preserve">: copia del repositorio original bajo la cuenta del usuario.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Flujo: clonar el </w:t>
      </w:r>
      <w:r>
        <w:rPr>
          <w:rFonts w:ascii="Times New Roman" w:hAnsi="Times New Roman" w:cs="Times New Roman"/>
          <w:i/>
          <w:iCs/>
        </w:rPr>
        <w:t xml:space="preserve">fork</w:t>
      </w:r>
      <w:r>
        <w:rPr>
          <w:rFonts w:ascii="Times New Roman" w:hAnsi="Times New Roman" w:cs="Times New Roman"/>
        </w:rPr>
        <w:t xml:space="preserve">, crear una rama temática, hacer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, git push y abrir un </w:t>
      </w:r>
      <w:r>
        <w:rPr>
          <w:rFonts w:ascii="Times New Roman" w:hAnsi="Times New Roman" w:cs="Times New Roman"/>
          <w:i/>
          <w:iCs/>
        </w:rPr>
        <w:t xml:space="preserve">pull request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</w:t>
      </w:r>
      <w:r>
        <w:rPr>
          <w:rFonts w:ascii="Times New Roman" w:hAnsi="Times New Roman" w:cs="Times New Roman"/>
          <w:i/>
          <w:iCs/>
        </w:rPr>
        <w:t xml:space="preserve">pull request</w:t>
      </w:r>
      <w:r>
        <w:rPr>
          <w:rFonts w:ascii="Times New Roman" w:hAnsi="Times New Roman" w:cs="Times New Roman"/>
        </w:rPr>
        <w:t xml:space="preserve"> permite revisión, discusión y ajustes antes de la integración, y se actualiza automáticamente al enviar nuevos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 a la rama.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recomienda configurar el repositorio original como remoto (upstream) para sincronizar el </w:t>
      </w:r>
      <w:r>
        <w:rPr>
          <w:rFonts w:ascii="Times New Roman" w:hAnsi="Times New Roman" w:cs="Times New Roman"/>
          <w:i/>
          <w:iCs/>
        </w:rPr>
        <w:t xml:space="preserve">fork</w:t>
      </w:r>
      <w:r>
        <w:rPr>
          <w:rFonts w:ascii="Times New Roman" w:hAnsi="Times New Roman" w:cs="Times New Roman"/>
        </w:rPr>
        <w:t xml:space="preserve">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Mantenimiento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Comentarios en líneas de código, </w:t>
      </w:r>
      <w:r>
        <w:rPr>
          <w:rFonts w:ascii="Times New Roman" w:hAnsi="Times New Roman" w:cs="Times New Roman"/>
          <w:i/>
          <w:iCs/>
        </w:rPr>
        <w:t xml:space="preserve">issues</w:t>
      </w:r>
      <w:r>
        <w:rPr>
          <w:rFonts w:ascii="Times New Roman" w:hAnsi="Times New Roman" w:cs="Times New Roman"/>
        </w:rPr>
        <w:t xml:space="preserve">, etiquetas, hitos y menciones (@usuario).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Opciones de integración del PR: </w:t>
      </w:r>
      <w:r>
        <w:rPr>
          <w:rFonts w:ascii="Times New Roman" w:hAnsi="Times New Roman" w:cs="Times New Roman"/>
          <w:i/>
          <w:iCs/>
        </w:rPr>
        <w:t xml:space="preserve">merge commit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 xml:space="preserve">squash</w:t>
      </w:r>
      <w:r>
        <w:rPr>
          <w:rFonts w:ascii="Times New Roman" w:hAnsi="Times New Roman" w:cs="Times New Roman"/>
        </w:rPr>
        <w:t xml:space="preserve"> o </w:t>
      </w:r>
      <w:r>
        <w:rPr>
          <w:rFonts w:ascii="Times New Roman" w:hAnsi="Times New Roman" w:cs="Times New Roman"/>
          <w:i/>
          <w:iCs/>
        </w:rPr>
        <w:t xml:space="preserve">rebase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Soporte de Markdown en descripciones y comentarios.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Organizaciones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Equipos, roles y permisos por repositorio (lectura, escritura, administración).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Propiedad compartida de repositorios y auditoría de acciones.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Funciones adicionales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Pages: publicación de sitios estáticos.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Actions: automatización de integración y despliegue continuos.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API y </w:t>
      </w:r>
      <w:r>
        <w:rPr>
          <w:rFonts w:ascii="Times New Roman" w:hAnsi="Times New Roman" w:cs="Times New Roman"/>
          <w:i/>
          <w:iCs/>
        </w:rPr>
        <w:t xml:space="preserve">webhooks</w:t>
      </w:r>
      <w:r>
        <w:rPr>
          <w:rFonts w:ascii="Times New Roman" w:hAnsi="Times New Roman" w:cs="Times New Roman"/>
        </w:rPr>
        <w:t xml:space="preserve">: integración con servicios externos y automatización de flujos.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Wikis y gestión de proyectos.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