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2B76DE">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61296682"/>
      <w:r>
        <w:t>Analisi e s</w:t>
      </w:r>
      <w:r w:rsidRPr="00D03EA1">
        <w:t>pecifica</w:t>
      </w:r>
      <w:r>
        <w:t xml:space="preserve"> </w:t>
      </w:r>
      <w:r w:rsidRPr="00D03EA1">
        <w:t>dei requisiti</w:t>
      </w:r>
      <w:bookmarkEnd w:id="6"/>
    </w:p>
    <w:p w:rsidR="00B33048" w:rsidRDefault="00B33048" w:rsidP="00AB05BB">
      <w:pPr>
        <w:rPr>
          <w:lang w:val="it-IT"/>
        </w:rPr>
      </w:pPr>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7"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1A0D89" w:rsidP="00275BF2">
            <w:pPr>
              <w:jc w:val="center"/>
              <w:rPr>
                <w:lang w:val="it-IT"/>
              </w:rPr>
            </w:pP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bookmarkEnd w:id="7"/>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FB2950" w:rsidRDefault="00FB2950" w:rsidP="00A71557">
      <w:pPr>
        <w:rPr>
          <w:noProof/>
        </w:rPr>
      </w:pPr>
    </w:p>
    <w:p w:rsidR="00667985" w:rsidRDefault="00FB2950" w:rsidP="00667985">
      <w:pPr>
        <w:keepNext/>
        <w:jc w:val="center"/>
      </w:pPr>
      <w:r>
        <w:rPr>
          <w:noProof/>
        </w:rPr>
        <w:drawing>
          <wp:inline distT="0" distB="0" distL="0" distR="0" wp14:anchorId="33E1D331" wp14:editId="74BDC7C8">
            <wp:extent cx="4831308" cy="3599564"/>
            <wp:effectExtent l="0" t="0" r="762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979" t="19610" r="22933" b="9294"/>
                    <a:stretch/>
                  </pic:blipFill>
                  <pic:spPr bwMode="auto">
                    <a:xfrm>
                      <a:off x="0" y="0"/>
                      <a:ext cx="4847362" cy="3611525"/>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667985" w:rsidRDefault="00FB2950" w:rsidP="00667985">
      <w:pPr>
        <w:keepNext/>
        <w:jc w:val="center"/>
      </w:pPr>
      <w:r>
        <w:rPr>
          <w:noProof/>
        </w:rPr>
        <w:drawing>
          <wp:inline distT="0" distB="0" distL="0" distR="0" wp14:anchorId="196DEF33">
            <wp:extent cx="7410992" cy="5462546"/>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974" t="5998" r="29008" b="5084"/>
                    <a:stretch/>
                  </pic:blipFill>
                  <pic:spPr bwMode="auto">
                    <a:xfrm>
                      <a:off x="0" y="0"/>
                      <a:ext cx="7410992" cy="5462546"/>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Pr>
            <w:noProof/>
          </w:rPr>
          <w:t>2</w:t>
        </w:r>
      </w:fldSimple>
      <w:r>
        <w:t>: Gantt iniziale</w:t>
      </w:r>
    </w:p>
    <w:p w:rsidR="00FB2950" w:rsidRDefault="00FB2950" w:rsidP="00C27D3A">
      <w:pPr>
        <w:rPr>
          <w:noProof/>
        </w:rPr>
      </w:pP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5" w:name="_Toc461179222"/>
      <w:bookmarkStart w:id="26" w:name="_Toc61296693"/>
      <w:bookmarkStart w:id="27" w:name="_GoBack"/>
      <w:bookmarkEnd w:id="27"/>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8" w:name="_Toc461179223"/>
      <w:bookmarkStart w:id="29" w:name="_Toc61296694"/>
      <w:r w:rsidRPr="00D03EA1">
        <w:rPr>
          <w:lang w:val="it-IT"/>
        </w:rPr>
        <w:t>Test</w:t>
      </w:r>
      <w:bookmarkEnd w:id="28"/>
      <w:bookmarkEnd w:id="29"/>
    </w:p>
    <w:p w:rsidR="00B33048" w:rsidRDefault="00B33048" w:rsidP="00B33048">
      <w:pPr>
        <w:pStyle w:val="Titolo2"/>
      </w:pPr>
      <w:bookmarkStart w:id="30" w:name="_Toc461179224"/>
      <w:bookmarkStart w:id="31" w:name="_Toc61296695"/>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2"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5C0E7C">
        <w:tc>
          <w:tcPr>
            <w:tcW w:w="2050" w:type="dxa"/>
            <w:tcBorders>
              <w:bottom w:val="single" w:sz="4" w:space="0" w:color="auto"/>
              <w:right w:val="single" w:sz="4" w:space="0" w:color="auto"/>
            </w:tcBorders>
            <w:shd w:val="pct25" w:color="auto" w:fill="auto"/>
          </w:tcPr>
          <w:p w:rsidR="005B7789" w:rsidRPr="004A3CE2" w:rsidRDefault="005B7789" w:rsidP="005C0E7C">
            <w:pPr>
              <w:pStyle w:val="BodyTextChar"/>
              <w:rPr>
                <w:b/>
                <w:sz w:val="18"/>
                <w:szCs w:val="18"/>
              </w:rPr>
            </w:pPr>
            <w:r w:rsidRPr="004A3CE2">
              <w:rPr>
                <w:b/>
                <w:sz w:val="18"/>
                <w:szCs w:val="18"/>
              </w:rPr>
              <w:t>Test Case:</w:t>
            </w:r>
          </w:p>
          <w:p w:rsidR="005B7789" w:rsidRPr="004A3CE2" w:rsidRDefault="005B7789" w:rsidP="005C0E7C">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5C0E7C">
            <w:pPr>
              <w:pStyle w:val="BodyTextChar"/>
              <w:rPr>
                <w:sz w:val="18"/>
                <w:szCs w:val="18"/>
              </w:rPr>
            </w:pPr>
            <w:r>
              <w:rPr>
                <w:sz w:val="18"/>
                <w:szCs w:val="18"/>
              </w:rPr>
              <w:t>TC-003</w:t>
            </w:r>
          </w:p>
          <w:p w:rsidR="005B7789" w:rsidRPr="00982DA5" w:rsidRDefault="005B7789" w:rsidP="005C0E7C">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5C0E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5C0E7C">
            <w:pPr>
              <w:pStyle w:val="BodyTextChar"/>
              <w:rPr>
                <w:noProof/>
                <w:sz w:val="18"/>
                <w:szCs w:val="18"/>
                <w:lang w:val="it-CH"/>
              </w:rPr>
            </w:pPr>
            <w:r>
              <w:rPr>
                <w:noProof/>
                <w:sz w:val="18"/>
                <w:szCs w:val="18"/>
                <w:lang w:val="it-CH"/>
              </w:rPr>
              <w:t>Personalizzare il colore del percorso</w:t>
            </w:r>
          </w:p>
        </w:tc>
      </w:tr>
      <w:tr w:rsidR="005B7789" w:rsidRPr="00E96CBE"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5C0E7C">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5C0E7C">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3C7813" w:rsidRDefault="003C7813">
      <w:pPr>
        <w:rPr>
          <w:b/>
          <w:lang w:val="it-IT"/>
        </w:rPr>
      </w:pPr>
    </w:p>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5C0E7C">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5C0E7C">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5C0E7C">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Pr="00A21DF4" w:rsidRDefault="00667985" w:rsidP="003C7813">
            <w:pPr>
              <w:pStyle w:val="Corpotesto"/>
              <w:numPr>
                <w:ilvl w:val="0"/>
                <w:numId w:val="28"/>
              </w:numPr>
              <w:ind w:left="413" w:hanging="426"/>
              <w:rPr>
                <w:lang w:val="it-IT" w:eastAsia="en-US"/>
              </w:rPr>
            </w:pPr>
            <w:r>
              <w:rPr>
                <w:lang w:val="it-IT" w:eastAsia="en-US"/>
              </w:rPr>
              <w:t>Avviare l’applicazione</w:t>
            </w:r>
          </w:p>
        </w:tc>
      </w:tr>
      <w:tr w:rsidR="00466190" w:rsidRPr="0053245D" w:rsidTr="005C0E7C">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466190" w:rsidP="00466190">
            <w:pPr>
              <w:pStyle w:val="BodyTextChar"/>
              <w:rPr>
                <w:color w:val="000000" w:themeColor="text1"/>
                <w:sz w:val="18"/>
                <w:szCs w:val="18"/>
                <w:lang w:val="it-IT"/>
              </w:rPr>
            </w:pPr>
            <w:r>
              <w:rPr>
                <w:color w:val="000000" w:themeColor="text1"/>
                <w:sz w:val="18"/>
                <w:szCs w:val="18"/>
                <w:lang w:val="it-IT"/>
              </w:rPr>
              <w:t>Il numero aumenterà in base a quante volte abbiamo schiacciato il bottone, il disegno sarà ancora possibile dopo aver premuto il bottone.</w:t>
            </w:r>
          </w:p>
        </w:tc>
      </w:tr>
    </w:tbl>
    <w:p w:rsidR="009D6304" w:rsidRDefault="009D6304">
      <w:pPr>
        <w:rPr>
          <w:b/>
          <w:lang w:val="it-IT"/>
        </w:rPr>
      </w:pPr>
    </w:p>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3" w:name="_Toc61296696"/>
      <w:r w:rsidRPr="00D03EA1">
        <w:t>Risultati test</w:t>
      </w:r>
      <w:bookmarkEnd w:id="32"/>
      <w:bookmarkEnd w:id="33"/>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4" w:name="_Toc461179226"/>
      <w:bookmarkStart w:id="35" w:name="_Toc61296697"/>
      <w:r>
        <w:t>Mancanze</w:t>
      </w:r>
      <w:r w:rsidRPr="00D03EA1">
        <w:t>/limitazioni conosciute</w:t>
      </w:r>
      <w:bookmarkEnd w:id="34"/>
      <w:bookmarkEnd w:id="35"/>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6" w:name="_Toc461179227"/>
      <w:bookmarkStart w:id="37" w:name="_Toc61296698"/>
      <w:r>
        <w:rPr>
          <w:lang w:val="it-IT"/>
        </w:rPr>
        <w:t>Consuntivo</w:t>
      </w:r>
      <w:bookmarkEnd w:id="36"/>
      <w:bookmarkEnd w:id="37"/>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8" w:name="_Toc461179228"/>
      <w:bookmarkStart w:id="39" w:name="_Toc61296699"/>
      <w:r w:rsidRPr="00D03EA1">
        <w:rPr>
          <w:lang w:val="it-IT"/>
        </w:rPr>
        <w:t>Conclusioni</w:t>
      </w:r>
      <w:bookmarkEnd w:id="38"/>
      <w:bookmarkEnd w:id="3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0" w:name="_Toc461179229"/>
      <w:bookmarkStart w:id="41" w:name="_Toc61296700"/>
      <w:r w:rsidRPr="00D03EA1">
        <w:t>Sviluppi futuri</w:t>
      </w:r>
      <w:bookmarkEnd w:id="40"/>
      <w:bookmarkEnd w:id="4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2" w:name="_Toc461179230"/>
      <w:bookmarkStart w:id="43" w:name="_Toc61296701"/>
      <w:r w:rsidRPr="00D03EA1">
        <w:t>Considerazioni personali</w:t>
      </w:r>
      <w:bookmarkEnd w:id="42"/>
      <w:bookmarkEnd w:id="43"/>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4" w:name="_Toc461179231"/>
      <w:bookmarkStart w:id="45" w:name="_Toc61296702"/>
      <w:r w:rsidRPr="00D03EA1">
        <w:rPr>
          <w:lang w:val="it-IT"/>
        </w:rPr>
        <w:t>Bibliografia</w:t>
      </w:r>
      <w:bookmarkEnd w:id="44"/>
      <w:bookmarkEnd w:id="45"/>
    </w:p>
    <w:p w:rsidR="00B33048" w:rsidRPr="00811FD8" w:rsidRDefault="00B33048" w:rsidP="00B33048">
      <w:pPr>
        <w:pStyle w:val="Titolo2"/>
      </w:pPr>
      <w:bookmarkStart w:id="46" w:name="_Toc461179232"/>
      <w:bookmarkStart w:id="47" w:name="_Toc61296703"/>
      <w:r w:rsidRPr="00811FD8">
        <w:t>Bibliografia per articoli di riviste:</w:t>
      </w:r>
      <w:bookmarkEnd w:id="46"/>
      <w:bookmarkEnd w:id="47"/>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8" w:name="_Toc461179233"/>
      <w:bookmarkStart w:id="49" w:name="_Toc61296704"/>
      <w:r w:rsidRPr="00D03EA1">
        <w:t>Bibliografia per libri</w:t>
      </w:r>
      <w:bookmarkEnd w:id="48"/>
      <w:bookmarkEnd w:id="49"/>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0" w:name="_Toc461179234"/>
      <w:r>
        <w:br w:type="page"/>
      </w:r>
    </w:p>
    <w:p w:rsidR="00B33048" w:rsidRPr="00D03EA1" w:rsidRDefault="00B33048" w:rsidP="00B33048">
      <w:pPr>
        <w:pStyle w:val="Titolo2"/>
      </w:pPr>
      <w:bookmarkStart w:id="51" w:name="_Toc61296705"/>
      <w:r>
        <w:lastRenderedPageBreak/>
        <w:t>Sitografia</w:t>
      </w:r>
      <w:bookmarkEnd w:id="50"/>
      <w:bookmarkEnd w:id="51"/>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2" w:name="_Toc461179235"/>
      <w:bookmarkStart w:id="53" w:name="_Toc61296706"/>
      <w:r w:rsidRPr="00D03EA1">
        <w:rPr>
          <w:lang w:val="it-IT"/>
        </w:rPr>
        <w:t>Allegati</w:t>
      </w:r>
      <w:bookmarkEnd w:id="52"/>
      <w:bookmarkEnd w:id="5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072" w:rsidRDefault="000B4072">
      <w:r>
        <w:separator/>
      </w:r>
    </w:p>
  </w:endnote>
  <w:endnote w:type="continuationSeparator" w:id="0">
    <w:p w:rsidR="000B4072" w:rsidRDefault="000B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Pr="007D504C" w:rsidRDefault="007D504C" w:rsidP="002C797B">
    <w:pPr>
      <w:pStyle w:val="Pidipagina"/>
      <w:rPr>
        <w:sz w:val="18"/>
      </w:rPr>
    </w:pPr>
    <w:r w:rsidRPr="007D504C">
      <w:rPr>
        <w:sz w:val="18"/>
      </w:rPr>
      <w:t>Julian Cummaudo</w:t>
    </w:r>
    <w:r w:rsidR="00AB05BB" w:rsidRPr="007D504C">
      <w:rPr>
        <w:sz w:val="18"/>
      </w:rPr>
      <w:tab/>
    </w:r>
    <w:r w:rsidR="000B4072" w:rsidRPr="007D504C">
      <w:rPr>
        <w:sz w:val="18"/>
      </w:rPr>
      <w:fldChar w:fldCharType="begin"/>
    </w:r>
    <w:r w:rsidR="000B4072" w:rsidRPr="007D504C">
      <w:rPr>
        <w:sz w:val="18"/>
      </w:rPr>
      <w:instrText xml:space="preserve"> FILENAME </w:instrText>
    </w:r>
    <w:r w:rsidR="000B4072" w:rsidRPr="007D504C">
      <w:rPr>
        <w:sz w:val="18"/>
      </w:rPr>
      <w:fldChar w:fldCharType="separate"/>
    </w:r>
    <w:r w:rsidRPr="007D504C">
      <w:rPr>
        <w:noProof/>
        <w:sz w:val="18"/>
      </w:rPr>
      <w:t>documentazioneSpirografo.docx</w:t>
    </w:r>
    <w:r w:rsidR="000B4072" w:rsidRPr="007D504C">
      <w:rPr>
        <w:noProof/>
        <w:sz w:val="18"/>
      </w:rPr>
      <w:fldChar w:fldCharType="end"/>
    </w:r>
    <w:r w:rsidR="00AB05BB"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Pr="007D504C">
      <w:rPr>
        <w:noProof/>
        <w:sz w:val="18"/>
      </w:rPr>
      <w:t>30.09.2021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67985">
          <w:pPr>
            <w:rPr>
              <w:lang w:val="it-IT"/>
            </w:rPr>
          </w:pPr>
          <w:r>
            <w:rPr>
              <w:lang w:val="it-IT"/>
            </w:rPr>
            <w:t>Spirografo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667985" w:rsidRPr="00AB05BB" w:rsidRDefault="00667985" w:rsidP="00667985">
          <w:pPr>
            <w:rPr>
              <w:lang w:val="it-IT"/>
            </w:rPr>
          </w:pPr>
          <w:r>
            <w:rPr>
              <w:lang w:val="it-IT"/>
            </w:rPr>
            <w:t>Julian Cummaudo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67985">
          <w:pPr>
            <w:rPr>
              <w:lang w:val="it-IT"/>
            </w:rPr>
          </w:pPr>
          <w:r>
            <w:rPr>
              <w:lang w:val="it-IT"/>
            </w:rPr>
            <w:t>I3AA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667985">
            <w:rPr>
              <w:lang w:val="it-IT"/>
            </w:rPr>
            <w:t>1</w:t>
          </w:r>
          <w:r>
            <w:rPr>
              <w:lang w:val="it-IT"/>
            </w:rPr>
            <w:t>/20</w:t>
          </w:r>
          <w:r w:rsidR="00ED0E27">
            <w:rPr>
              <w:lang w:val="it-IT"/>
            </w:rPr>
            <w:t>2</w:t>
          </w:r>
          <w:r w:rsidR="00667985">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67985">
          <w:pPr>
            <w:rPr>
              <w:lang w:val="it-IT"/>
            </w:rPr>
          </w:pPr>
          <w:r>
            <w:rPr>
              <w:lang w:val="it-IT"/>
            </w:rPr>
            <w:t>Geo Petrini</w:t>
          </w:r>
        </w:p>
      </w:tc>
    </w:tr>
  </w:tbl>
  <w:p w:rsidR="00AB05BB" w:rsidRDefault="00AB05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85" w:rsidRPr="00F60F15" w:rsidRDefault="00F60F15"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Pr="007D504C">
      <w:rPr>
        <w:noProof/>
        <w:sz w:val="18"/>
      </w:rPr>
      <w:t>30.09.2021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85" w:rsidRPr="00F60F15" w:rsidRDefault="00F60F15"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Pr="007D504C">
      <w:rPr>
        <w:noProof/>
        <w:sz w:val="18"/>
      </w:rPr>
      <w:t>30.09.2021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072" w:rsidRDefault="000B4072">
      <w:r>
        <w:separator/>
      </w:r>
    </w:p>
  </w:footnote>
  <w:footnote w:type="continuationSeparator" w:id="0">
    <w:p w:rsidR="000B4072" w:rsidRDefault="000B4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C7316A"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7316A" w:rsidRDefault="00C7316A"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316A" w:rsidRDefault="00C7316A"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C7316A" w:rsidRPr="007D504C" w:rsidRDefault="00C7316A"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C7316A"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316A" w:rsidRDefault="00C7316A"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316A" w:rsidRDefault="00C7316A"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C7316A" w:rsidRPr="007D504C" w:rsidRDefault="00C7316A" w:rsidP="00C7316A">
          <w:pPr>
            <w:pStyle w:val="Intestazione"/>
            <w:rPr>
              <w:rFonts w:cs="Arial"/>
              <w:snapToGrid w:val="0"/>
            </w:rPr>
          </w:pPr>
        </w:p>
      </w:tc>
    </w:tr>
  </w:tbl>
  <w:p w:rsidR="007D504C" w:rsidRPr="002C797B" w:rsidRDefault="007D504C" w:rsidP="007D504C">
    <w:pPr>
      <w:pStyle w:val="Intestazione"/>
    </w:pPr>
  </w:p>
  <w:p w:rsidR="00AB05BB" w:rsidRPr="007D504C" w:rsidRDefault="00AB05BB"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AB05BB"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7D504C">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7D504C"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D504C" w:rsidRDefault="007D504C"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D504C" w:rsidRDefault="007D504C"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D504C" w:rsidRDefault="007D504C"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7D504C"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D504C" w:rsidRDefault="007D504C"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D504C" w:rsidRPr="007D504C" w:rsidRDefault="007D504C"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D504C" w:rsidRDefault="007D504C" w:rsidP="007D504C">
          <w:pPr>
            <w:pStyle w:val="Intestazione"/>
            <w:jc w:val="center"/>
            <w:rPr>
              <w:rFonts w:cs="Arial"/>
              <w:lang w:val="it-IT"/>
            </w:rPr>
          </w:pPr>
        </w:p>
      </w:tc>
    </w:tr>
  </w:tbl>
  <w:p w:rsidR="00667985" w:rsidRPr="007D504C" w:rsidRDefault="00667985"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B03777" w:rsidRPr="007D504C" w:rsidTr="00EF39C6">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03777" w:rsidRDefault="00B03777"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3777" w:rsidRDefault="00B03777"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B03777" w:rsidRPr="007D504C" w:rsidRDefault="00B03777"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B03777" w:rsidRPr="007D504C" w:rsidTr="00EF39C6">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3777" w:rsidRDefault="00B03777"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03777" w:rsidRDefault="00B03777"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B03777" w:rsidRPr="007D504C" w:rsidRDefault="00B03777" w:rsidP="00B03777">
          <w:pPr>
            <w:pStyle w:val="Intestazione"/>
            <w:rPr>
              <w:rFonts w:cs="Arial"/>
              <w:snapToGrid w:val="0"/>
            </w:rPr>
          </w:pPr>
        </w:p>
      </w:tc>
    </w:tr>
  </w:tbl>
  <w:p w:rsidR="00667985" w:rsidRPr="00667985" w:rsidRDefault="00667985"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20"/>
  </w:num>
  <w:num w:numId="12">
    <w:abstractNumId w:val="5"/>
  </w:num>
  <w:num w:numId="13">
    <w:abstractNumId w:val="2"/>
  </w:num>
  <w:num w:numId="14">
    <w:abstractNumId w:val="21"/>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7"/>
  </w:num>
  <w:num w:numId="26">
    <w:abstractNumId w:val="19"/>
  </w:num>
  <w:num w:numId="27">
    <w:abstractNumId w:val="13"/>
  </w:num>
  <w:num w:numId="28">
    <w:abstractNumId w:val="10"/>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793A"/>
    <w:rsid w:val="00086641"/>
    <w:rsid w:val="000A6929"/>
    <w:rsid w:val="000B4072"/>
    <w:rsid w:val="000B6446"/>
    <w:rsid w:val="000E1993"/>
    <w:rsid w:val="00100A3C"/>
    <w:rsid w:val="0014332A"/>
    <w:rsid w:val="00186E96"/>
    <w:rsid w:val="001A00E1"/>
    <w:rsid w:val="001A0D89"/>
    <w:rsid w:val="001B728A"/>
    <w:rsid w:val="001F2449"/>
    <w:rsid w:val="00237B2B"/>
    <w:rsid w:val="002526E5"/>
    <w:rsid w:val="002709B7"/>
    <w:rsid w:val="00275BF2"/>
    <w:rsid w:val="002B76DE"/>
    <w:rsid w:val="002C1335"/>
    <w:rsid w:val="002C797B"/>
    <w:rsid w:val="002F26B9"/>
    <w:rsid w:val="00323A3B"/>
    <w:rsid w:val="00331468"/>
    <w:rsid w:val="00365954"/>
    <w:rsid w:val="003C7813"/>
    <w:rsid w:val="003E1862"/>
    <w:rsid w:val="003F639C"/>
    <w:rsid w:val="00417B29"/>
    <w:rsid w:val="0042378C"/>
    <w:rsid w:val="00466190"/>
    <w:rsid w:val="004A3CE2"/>
    <w:rsid w:val="005048DB"/>
    <w:rsid w:val="0050706F"/>
    <w:rsid w:val="00525503"/>
    <w:rsid w:val="0053245D"/>
    <w:rsid w:val="00555CDB"/>
    <w:rsid w:val="00557B37"/>
    <w:rsid w:val="005614B6"/>
    <w:rsid w:val="005B7789"/>
    <w:rsid w:val="006001E9"/>
    <w:rsid w:val="00620991"/>
    <w:rsid w:val="00636244"/>
    <w:rsid w:val="00667985"/>
    <w:rsid w:val="006725B2"/>
    <w:rsid w:val="006E4A10"/>
    <w:rsid w:val="006F5646"/>
    <w:rsid w:val="007014F4"/>
    <w:rsid w:val="0072427A"/>
    <w:rsid w:val="007866EE"/>
    <w:rsid w:val="0079049F"/>
    <w:rsid w:val="007B0BA5"/>
    <w:rsid w:val="007D504C"/>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D1078"/>
    <w:rsid w:val="009D6304"/>
    <w:rsid w:val="009F13CE"/>
    <w:rsid w:val="00A21DF4"/>
    <w:rsid w:val="00A4477C"/>
    <w:rsid w:val="00A52695"/>
    <w:rsid w:val="00A6318D"/>
    <w:rsid w:val="00A71557"/>
    <w:rsid w:val="00A7451A"/>
    <w:rsid w:val="00A83338"/>
    <w:rsid w:val="00A967FB"/>
    <w:rsid w:val="00AB05BB"/>
    <w:rsid w:val="00AB7B52"/>
    <w:rsid w:val="00AE70F7"/>
    <w:rsid w:val="00AF6622"/>
    <w:rsid w:val="00B03777"/>
    <w:rsid w:val="00B062DF"/>
    <w:rsid w:val="00B33048"/>
    <w:rsid w:val="00B66E02"/>
    <w:rsid w:val="00B7600A"/>
    <w:rsid w:val="00B81BBD"/>
    <w:rsid w:val="00BA24E5"/>
    <w:rsid w:val="00BC66E4"/>
    <w:rsid w:val="00BD0E15"/>
    <w:rsid w:val="00BF20FD"/>
    <w:rsid w:val="00BF5C85"/>
    <w:rsid w:val="00BF5F75"/>
    <w:rsid w:val="00C27D3A"/>
    <w:rsid w:val="00C37B0C"/>
    <w:rsid w:val="00C40FE4"/>
    <w:rsid w:val="00C456F2"/>
    <w:rsid w:val="00C7316A"/>
    <w:rsid w:val="00C921BC"/>
    <w:rsid w:val="00CD6FB5"/>
    <w:rsid w:val="00D8050E"/>
    <w:rsid w:val="00D823AE"/>
    <w:rsid w:val="00D940E9"/>
    <w:rsid w:val="00DA47BC"/>
    <w:rsid w:val="00DA4ECA"/>
    <w:rsid w:val="00DE0631"/>
    <w:rsid w:val="00DF74AB"/>
    <w:rsid w:val="00E10941"/>
    <w:rsid w:val="00E6362D"/>
    <w:rsid w:val="00E96CBE"/>
    <w:rsid w:val="00EB64F4"/>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418BA7"/>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954E-07B7-4689-A498-B4B361A9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2191</Words>
  <Characters>12491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20</cp:revision>
  <cp:lastPrinted>2012-10-05T07:12:00Z</cp:lastPrinted>
  <dcterms:created xsi:type="dcterms:W3CDTF">2021-01-11T21:32:00Z</dcterms:created>
  <dcterms:modified xsi:type="dcterms:W3CDTF">2021-09-30T09:33:00Z</dcterms:modified>
  <cp:category/>
</cp:coreProperties>
</file>