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kuris-plan-de-negocios"/>
    <w:p>
      <w:pPr>
        <w:pStyle w:val="Heading1"/>
      </w:pPr>
      <w:r>
        <w:t xml:space="preserve">Kuris — Plan de Negocios</w:t>
      </w:r>
    </w:p>
    <w:p>
      <w:pPr>
        <w:pStyle w:val="FirstParagraph"/>
      </w:pPr>
      <w:r>
        <w:t xml:space="preserve">Seminario de Trabajo Final — UAI 2026</w:t>
      </w:r>
      <w:r>
        <w:t xml:space="preserve"> </w:t>
      </w:r>
      <w:r>
        <w:t xml:space="preserve">Autor: Julián Decoppet</w:t>
      </w:r>
      <w:r>
        <w:t xml:space="preserve"> </w:t>
      </w:r>
      <w:r>
        <w:t xml:space="preserve">Legajo: B00114457-T — Sede Rosario</w:t>
      </w:r>
      <w:r>
        <w:t xml:space="preserve"> </w:t>
      </w:r>
      <w:r>
        <w:t xml:space="preserve">Profesores: Ing. Sartorio Alejandro Roberto e Ing. Banega Matias Pablo</w:t>
      </w:r>
    </w:p>
    <w:p>
      <w:pPr>
        <w:pStyle w:val="BodyText"/>
      </w:pPr>
      <w:r>
        <w:t xml:space="preserve">Ficha de Seguimiento y Revisión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de los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19/05/2026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Julián Decoppet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inicial: Resumen Ejecutivo y punto 1 (1.1 y 1.2).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12/05/2026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Julián Decoppet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Reescritura del resumen ejecutivo, BMC, Contexto Competitivo y fuentes.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Julián Decoppet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entrega: completado punto 1 (1.3 a 1.12), punto 2, punto 3, punto 4 y punto 5 (5.1 y 5.2). BMC movido a bmc.md (anexo).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Julián Decoppet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Consolidación del documento único: integración de entrega-2.md, capítulo 5 nuevo, referencias APA 7 completas.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Julián Decoppet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Incorporación de capacidades de IA generativa al MVP: resumen automático de historia clínica y sugerencia de CIE-10 mediante LLM (Claude API). Migración de stack a Java 21 + Spring Boot 3 + Angular 18. Actualización de costos operativos (ítem API LLM) y hoja de ruta.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Julián Decoppet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de consistencia: avance técnico actualizado al estado real post-migración (auth two-step en diseño, 15 ADRs, frontend Angular, docs ICONIX), canales de notificación unificados según ADR-013 (Telegram/email en MVP), justificación del posicionamiento de precio, correcciones menores (Nubimed en capa SaaS, hitos de recordatorio 48/24 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Julián Decoppet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Correcciones de cobertura respecto a guía UAI: propuesta asociativa y proyección de rentabilidad en Resumen Ejecutivo; calidad y experiencia de uso en 1.4; comparación competitiva por eslabón en 2.2.2; perfil sociodemográfico del usuario en 4.2 y 4.4.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Julián Decoppet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Correcciones de rigor analítico: tabla de costos operativos desglosada y punto de equilibrio recalculado (sección 5.2); cálculo de ROI concreto para el cliente (sección 1.1); análisis de competidores internacionales (Medesk, Elation Health, Kareo/Tebra) en sección 2.2.1; riesgos de dependencia de APIs externas (Claude API, Telegram) en 2.1.4; área de resultado</w:t>
            </w:r>
            <w:r>
              <w:t xml:space="preserve"> </w:t>
            </w:r>
            <w:r>
              <w:t xml:space="preserve">“</w:t>
            </w:r>
            <w:r>
              <w:t xml:space="preserve">Cumplimiento normativo</w:t>
            </w:r>
            <w:r>
              <w:t xml:space="preserve">”</w:t>
            </w:r>
            <w:r>
              <w:t xml:space="preserve"> </w:t>
            </w:r>
            <w:r>
              <w:t xml:space="preserve">reemplaza</w:t>
            </w:r>
            <w:r>
              <w:t xml:space="preserve"> </w:t>
            </w:r>
            <w:r>
              <w:t xml:space="preserve">“</w:t>
            </w:r>
            <w:r>
              <w:t xml:space="preserve">Solidez técnica</w:t>
            </w:r>
            <w:r>
              <w:t xml:space="preserve">”</w:t>
            </w:r>
            <w:r>
              <w:t xml:space="preserve"> </w:t>
            </w:r>
            <w:r>
              <w:t xml:space="preserve">en 1.11; conclusión FODA reformulada para reconocer ausencia de validación primaria (3.3); sección de validación preliminar de mercado añadida en 1.2; Anexo A: uso de IA generativa y agentes especializados en el desarrollo (Claude Code, pipeline SDD+TDD+IA, tabla de agentes y límites explícitos). Nuevas referencias APA 7: Gomes et al. (2022), Peng et al. (2023), Barke et al. (2023), Elation Health (2024), Kareo/Tebra (2024).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Julián Decoppet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de rigor sobre fuentes y estado real de validación: cifra de ausentismo reclasificada como dato regional (no exclusivo de Argentina); Geblix reclasificado como competidor directo además de fuente de dato; incorporación de competidores con FHIR R4 verificado (Medplum, Elation Health, HAPI FHIR) en 1.1, 1.3, 1.6, 2.1.4 y 2.2.1; corrección de la caracterización de Elation Health (FHIR R4 certificado ONC, no</w:t>
            </w:r>
            <w:r>
              <w:t xml:space="preserve"> </w:t>
            </w:r>
            <w:r>
              <w:t xml:space="preserve">“</w:t>
            </w:r>
            <w:r>
              <w:t xml:space="preserve">parcial</w:t>
            </w:r>
            <w:r>
              <w:t xml:space="preserve">”</w:t>
            </w:r>
            <w:r>
              <w:t xml:space="preserve">); simplificación de menciones redundantes de</w:t>
            </w:r>
            <w:r>
              <w:t xml:space="preserve"> </w:t>
            </w:r>
            <w:r>
              <w:t xml:space="preserve">“</w:t>
            </w:r>
            <w:r>
              <w:t xml:space="preserve">FHIR R4 nativo</w:t>
            </w:r>
            <w:r>
              <w:t xml:space="preserve">”</w:t>
            </w:r>
            <w:r>
              <w:t xml:space="preserve"> </w:t>
            </w:r>
            <w:r>
              <w:t xml:space="preserve">manteniendo el calificativo solo donde se explica el concepto o se compara con un competidor; sección 1.2 corregida para reflejar el estado real de la validación de mercado (sin clínica piloto comprometida, solo conversaciones exploratorias sin acuerdo; fuente de validación de dominio clínico aclarada); conclusión FODA (3.3) y tabla resumen de hitos (5.2) ajustadas para no presentar el piloto de agosto–noviembre 2026 como hecho en curso. Nueva referencia APA 7: Inter-American Development Bank (s. f.), Medplum (2025), Argentina.gob.ar (s. f.) con URL corregida.</w:t>
            </w:r>
          </w:p>
        </w:tc>
      </w:tr>
    </w:tbl>
    <w:p>
      <w:pPr>
        <w:pStyle w:val="BodyText"/>
      </w:pPr>
      <w:r>
        <w:t xml:space="preserve">Nota: El Business Model Canvas se presenta como documento independiente</w:t>
      </w:r>
      <w:r>
        <w:t xml:space="preserve"> </w:t>
      </w:r>
      <w:r>
        <w:t xml:space="preserve">(bmc.md) para facilitar su visualización y actualización separada.</w:t>
      </w:r>
      <w:r>
        <w:t xml:space="preserve"> </w:t>
      </w:r>
      <w:r>
        <w:t xml:space="preserve">Los nueve bloques del canvas sintetizan los conceptos desarrollados en</w:t>
      </w:r>
      <w:r>
        <w:t xml:space="preserve"> </w:t>
      </w:r>
      <w:r>
        <w:t xml:space="preserve">los capítulos 1 a 5 de este documento.</w:t>
      </w:r>
    </w:p>
    <w:bookmarkEnd w:id="20"/>
    <w:bookmarkStart w:id="21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Kuris es una plataforma de software de gestión clínica por</w:t>
      </w:r>
      <w:r>
        <w:t xml:space="preserve"> </w:t>
      </w:r>
      <w:r>
        <w:t xml:space="preserve">suscripción, dirigida a consultorios y clínicas médicas privadas de uno a</w:t>
      </w:r>
      <w:r>
        <w:t xml:space="preserve"> </w:t>
      </w:r>
      <w:r>
        <w:t xml:space="preserve">cinco profesionales en Argentina, con foco inicial en Rosario y zona de</w:t>
      </w:r>
      <w:r>
        <w:t xml:space="preserve"> </w:t>
      </w:r>
      <w:r>
        <w:t xml:space="preserve">influencia. La plataforma centraliza la administración de pacientes,</w:t>
      </w:r>
      <w:r>
        <w:t xml:space="preserve"> </w:t>
      </w:r>
      <w:r>
        <w:t xml:space="preserve">turnos, historia clínica y profesionales sobre una arquitectura</w:t>
      </w:r>
      <w:r>
        <w:t xml:space="preserve"> </w:t>
      </w:r>
      <w:r>
        <w:t xml:space="preserve">interoperable basada en el estándar internacional HL7 FHIR R4, lo que</w:t>
      </w:r>
      <w:r>
        <w:t xml:space="preserve"> </w:t>
      </w:r>
      <w:r>
        <w:t xml:space="preserve">garantiza que los datos clínicos sean portables, seguros y compatibles</w:t>
      </w:r>
      <w:r>
        <w:t xml:space="preserve"> </w:t>
      </w:r>
      <w:r>
        <w:t xml:space="preserve">con cualquier sistema de salud presente o futuro.</w:t>
      </w:r>
    </w:p>
    <w:p>
      <w:pPr>
        <w:pStyle w:val="BodyText"/>
      </w:pPr>
      <w:r>
        <w:t xml:space="preserve">Sobre esa base de gestión integral, Kuris incorpora un conjunto de</w:t>
      </w:r>
      <w:r>
        <w:t xml:space="preserve"> </w:t>
      </w:r>
      <w:r>
        <w:t xml:space="preserve">capacidades de inteligencia operacional diseñadas para resolver problemas</w:t>
      </w:r>
      <w:r>
        <w:t xml:space="preserve"> </w:t>
      </w:r>
      <w:r>
        <w:t xml:space="preserve">concretos del segmento.</w:t>
      </w:r>
    </w:p>
    <w:p>
      <w:pPr>
        <w:pStyle w:val="BodyText"/>
      </w:pPr>
      <w:r>
        <w:t xml:space="preserve">Capacidades comprometidas en el MVP del seminario (mayo–diciembre 2026):</w:t>
      </w:r>
    </w:p>
    <w:p>
      <w:pPr>
        <w:numPr>
          <w:ilvl w:val="0"/>
          <w:numId w:val="1001"/>
        </w:numPr>
      </w:pPr>
      <w:r>
        <w:t xml:space="preserve">Predicción explicable de ausentismo: el sistema estima la</w:t>
      </w:r>
      <w:r>
        <w:t xml:space="preserve"> </w:t>
      </w:r>
      <w:r>
        <w:t xml:space="preserve">probabilidad de que un paciente no se presente a su turno y explica,</w:t>
      </w:r>
      <w:r>
        <w:t xml:space="preserve"> </w:t>
      </w:r>
      <w:r>
        <w:t xml:space="preserve">en lenguaje comprensible para el profesional, los factores que</w:t>
      </w:r>
      <w:r>
        <w:t xml:space="preserve"> </w:t>
      </w:r>
      <w:r>
        <w:t xml:space="preserve">generan ese riesgo. El módulo opera con reglas heurísticas (historial</w:t>
      </w:r>
      <w:r>
        <w:t xml:space="preserve"> </w:t>
      </w:r>
      <w:r>
        <w:t xml:space="preserve">de no-show, anticipación del turno, día y franja horaria) y está</w:t>
      </w:r>
      <w:r>
        <w:t xml:space="preserve"> </w:t>
      </w:r>
      <w:r>
        <w:t xml:space="preserve">diseñado para evolucionar a modelos entrenados por clínica una vez</w:t>
      </w:r>
      <w:r>
        <w:t xml:space="preserve"> </w:t>
      </w:r>
      <w:r>
        <w:t xml:space="preserve">que cada tenant acumule volumen suficiente.</w:t>
      </w:r>
    </w:p>
    <w:p>
      <w:pPr>
        <w:numPr>
          <w:ilvl w:val="0"/>
          <w:numId w:val="1001"/>
        </w:numPr>
      </w:pPr>
      <w:r>
        <w:t xml:space="preserve">Recordatorios inteligentes diferenciados por riesgo: las</w:t>
      </w:r>
      <w:r>
        <w:t xml:space="preserve"> </w:t>
      </w:r>
      <w:r>
        <w:t xml:space="preserve">notificaciones a pacientes se priorizan según la probabilidad de</w:t>
      </w:r>
      <w:r>
        <w:t xml:space="preserve"> </w:t>
      </w:r>
      <w:r>
        <w:t xml:space="preserve">ausentismo calculada, reduciendo costo de notificación y aumentando</w:t>
      </w:r>
      <w:r>
        <w:t xml:space="preserve"> </w:t>
      </w:r>
      <w:r>
        <w:t xml:space="preserve">la tasa de respuesta efectiva. El módulo de notificaciones está</w:t>
      </w:r>
      <w:r>
        <w:t xml:space="preserve"> </w:t>
      </w:r>
      <w:r>
        <w:t xml:space="preserve">diseñado con una abstracción de canal intercambiable: el MVP opera</w:t>
      </w:r>
      <w:r>
        <w:t xml:space="preserve"> </w:t>
      </w:r>
      <w:r>
        <w:t xml:space="preserve">con Telegram Bot API (gratuito, sin aprobación) y email; la</w:t>
      </w:r>
      <w:r>
        <w:t xml:space="preserve"> </w:t>
      </w:r>
      <w:r>
        <w:t xml:space="preserve">integración con WhatsApp Business API se activa en la fase de</w:t>
      </w:r>
      <w:r>
        <w:t xml:space="preserve"> </w:t>
      </w:r>
      <w:r>
        <w:t xml:space="preserve">producción comercial sin modificar la lógica de negocio.</w:t>
      </w:r>
    </w:p>
    <w:p>
      <w:pPr>
        <w:numPr>
          <w:ilvl w:val="0"/>
          <w:numId w:val="1001"/>
        </w:numPr>
      </w:pPr>
      <w:r>
        <w:t xml:space="preserve">Overbooking inteligente: cuando un slot tiene alto riesgo de</w:t>
      </w:r>
      <w:r>
        <w:t xml:space="preserve"> </w:t>
      </w:r>
      <w:r>
        <w:t xml:space="preserve">ausentismo, el sistema sugiere reservar el horario para sobreturno o</w:t>
      </w:r>
      <w:r>
        <w:t xml:space="preserve"> </w:t>
      </w:r>
      <w:r>
        <w:t xml:space="preserve">doble agenda, con tope parametrizable por el profesional, recuperando</w:t>
      </w:r>
      <w:r>
        <w:t xml:space="preserve"> </w:t>
      </w:r>
      <w:r>
        <w:t xml:space="preserve">ingresos perdidos sin sobrecargar la operación.</w:t>
      </w:r>
    </w:p>
    <w:p>
      <w:pPr>
        <w:numPr>
          <w:ilvl w:val="0"/>
          <w:numId w:val="1001"/>
        </w:numPr>
      </w:pPr>
      <w:r>
        <w:t xml:space="preserve">Resumen automático de historia clínica mediante IA generativa: al</w:t>
      </w:r>
      <w:r>
        <w:t xml:space="preserve"> </w:t>
      </w:r>
      <w:r>
        <w:t xml:space="preserve">finalizar una consulta, el sistema genera un resumen en lenguaje</w:t>
      </w:r>
      <w:r>
        <w:t xml:space="preserve"> </w:t>
      </w:r>
      <w:r>
        <w:t xml:space="preserve">natural del Encuentro clínico —incluyendo notas SOAP, signos vitales</w:t>
      </w:r>
      <w:r>
        <w:t xml:space="preserve"> </w:t>
      </w:r>
      <w:r>
        <w:t xml:space="preserve">y diagnóstico— a partir de los datos FHIR estructurados. El médico</w:t>
      </w:r>
      <w:r>
        <w:t xml:space="preserve"> </w:t>
      </w:r>
      <w:r>
        <w:t xml:space="preserve">revisa y valida el resumen antes de que quede registrado. Esta</w:t>
      </w:r>
      <w:r>
        <w:t xml:space="preserve"> </w:t>
      </w:r>
      <w:r>
        <w:t xml:space="preserve">capacidad reduce la carga administrativa del profesional y constituye</w:t>
      </w:r>
      <w:r>
        <w:t xml:space="preserve"> </w:t>
      </w:r>
      <w:r>
        <w:t xml:space="preserve">la primera integración del producto con modelos de lenguaje de gran</w:t>
      </w:r>
      <w:r>
        <w:t xml:space="preserve"> </w:t>
      </w:r>
      <w:r>
        <w:t xml:space="preserve">escala (LLM), implementada mediante la API de Claude (Anthropic).</w:t>
      </w:r>
    </w:p>
    <w:p>
      <w:pPr>
        <w:numPr>
          <w:ilvl w:val="0"/>
          <w:numId w:val="1001"/>
        </w:numPr>
      </w:pPr>
      <w:r>
        <w:t xml:space="preserve">Sugerencia automática de clasificación CIE-10: al registrar el</w:t>
      </w:r>
      <w:r>
        <w:t xml:space="preserve"> </w:t>
      </w:r>
      <w:r>
        <w:t xml:space="preserve">motivo de consulta en texto libre, el sistema sugiere el código</w:t>
      </w:r>
      <w:r>
        <w:t xml:space="preserve"> </w:t>
      </w:r>
      <w:r>
        <w:t xml:space="preserve">CIE-10 más probable, reduciendo el tiempo de codificación clínica</w:t>
      </w:r>
      <w:r>
        <w:t xml:space="preserve"> </w:t>
      </w:r>
      <w:r>
        <w:t xml:space="preserve">y el error por omisión. El profesional conserva el criterio final</w:t>
      </w:r>
      <w:r>
        <w:t xml:space="preserve"> </w:t>
      </w:r>
      <w:r>
        <w:t xml:space="preserve">sobre el código aplicado.</w:t>
      </w:r>
    </w:p>
    <w:p>
      <w:pPr>
        <w:pStyle w:val="FirstParagraph"/>
      </w:pPr>
      <w:r>
        <w:t xml:space="preserve">Capacidades en roadmap post-MVP (alcance comercial, no entregable del</w:t>
      </w:r>
      <w:r>
        <w:t xml:space="preserve"> </w:t>
      </w:r>
      <w:r>
        <w:t xml:space="preserve">seminario):</w:t>
      </w:r>
    </w:p>
    <w:p>
      <w:pPr>
        <w:numPr>
          <w:ilvl w:val="0"/>
          <w:numId w:val="1002"/>
        </w:numPr>
        <w:pStyle w:val="Compact"/>
      </w:pPr>
      <w:r>
        <w:t xml:space="preserve">Sugerencia automática de cobertura óptima por franja horaria.</w:t>
      </w:r>
    </w:p>
    <w:p>
      <w:pPr>
        <w:numPr>
          <w:ilvl w:val="0"/>
          <w:numId w:val="1002"/>
        </w:numPr>
        <w:pStyle w:val="Compact"/>
      </w:pPr>
      <w:r>
        <w:t xml:space="preserve">Modelos de Machine Learning entrenados por tenant.</w:t>
      </w:r>
    </w:p>
    <w:p>
      <w:pPr>
        <w:numPr>
          <w:ilvl w:val="0"/>
          <w:numId w:val="1002"/>
        </w:numPr>
        <w:pStyle w:val="Compact"/>
      </w:pPr>
      <w:r>
        <w:t xml:space="preserve">Integraciones específicas con obras sociales y prestadores vía FHIR.</w:t>
      </w:r>
    </w:p>
    <w:p>
      <w:pPr>
        <w:numPr>
          <w:ilvl w:val="0"/>
          <w:numId w:val="1002"/>
        </w:numPr>
        <w:pStyle w:val="Compact"/>
      </w:pPr>
      <w:r>
        <w:t xml:space="preserve">Marketplace B2C de turnos para pacientes finales.</w:t>
      </w:r>
    </w:p>
    <w:p>
      <w:pPr>
        <w:pStyle w:val="FirstParagraph"/>
      </w:pPr>
      <w:r>
        <w:t xml:space="preserve">El ausentismo de pacientes afecta a aproximadamente 1 de cada 3 turnos</w:t>
      </w:r>
      <w:r>
        <w:t xml:space="preserve"> </w:t>
      </w:r>
      <w:r>
        <w:t xml:space="preserve">médicos en América Latina (30 %, sobre un análisis de 1,5 millones de</w:t>
      </w:r>
      <w:r>
        <w:t xml:space="preserve"> </w:t>
      </w:r>
      <w:r>
        <w:t xml:space="preserve">turnos en Argentina, Uruguay, Chile, Perú y México), un problema operativo</w:t>
      </w:r>
      <w:r>
        <w:t xml:space="preserve"> </w:t>
      </w:r>
      <w:r>
        <w:t xml:space="preserve">de alto costo para el cual el segmento de clínicas pequeñas en Argentina</w:t>
      </w:r>
      <w:r>
        <w:t xml:space="preserve"> </w:t>
      </w:r>
      <w:r>
        <w:t xml:space="preserve">no dispone de una solución ampliamente adoptada (Geblix, 2024). En el</w:t>
      </w:r>
      <w:r>
        <w:t xml:space="preserve"> </w:t>
      </w:r>
      <w:r>
        <w:t xml:space="preserve">relevamiento realizado se identificaron soluciones internacionales y</w:t>
      </w:r>
      <w:r>
        <w:t xml:space="preserve"> </w:t>
      </w:r>
      <w:r>
        <w:t xml:space="preserve">herramientas de infraestructura abierta con implementación nativa de HL7</w:t>
      </w:r>
      <w:r>
        <w:t xml:space="preserve"> </w:t>
      </w:r>
      <w:r>
        <w:t xml:space="preserve">FHIR R4 (Medplum, Elation Health, HAPI FHIR), así como competidores</w:t>
      </w:r>
      <w:r>
        <w:t xml:space="preserve"> </w:t>
      </w:r>
      <w:r>
        <w:t xml:space="preserve">regionales con predicción de ausentismo por machine learning ya en</w:t>
      </w:r>
      <w:r>
        <w:t xml:space="preserve"> </w:t>
      </w:r>
      <w:r>
        <w:t xml:space="preserve">producción comercial (Geblix). No se identificó, sin embargo, ningún</w:t>
      </w:r>
      <w:r>
        <w:t xml:space="preserve"> </w:t>
      </w:r>
      <w:r>
        <w:t xml:space="preserve">competidor del segmento de clínicas de 1 a 5 profesionales en Argentina</w:t>
      </w:r>
      <w:r>
        <w:t xml:space="preserve"> </w:t>
      </w:r>
      <w:r>
        <w:t xml:space="preserve">que combine el estándar HL7 FHIR R4, predicción explicable de ausentismo por</w:t>
      </w:r>
      <w:r>
        <w:t xml:space="preserve"> </w:t>
      </w:r>
      <w:r>
        <w:t xml:space="preserve">paciente y optimización automatizada de cobertura integrada al flujo</w:t>
      </w:r>
      <w:r>
        <w:t xml:space="preserve"> </w:t>
      </w:r>
      <w:r>
        <w:t xml:space="preserve">operativo, en el rango de precio propuesto.</w:t>
      </w:r>
    </w:p>
    <w:p>
      <w:pPr>
        <w:pStyle w:val="BodyText"/>
      </w:pPr>
      <w:r>
        <w:t xml:space="preserve">El contexto de mercado es favorable: el sector de salud digital en América</w:t>
      </w:r>
      <w:r>
        <w:t xml:space="preserve"> </w:t>
      </w:r>
      <w:r>
        <w:t xml:space="preserve">Latina supera los USD 5.755 millones y crece al 9,5 % anual (Informes de</w:t>
      </w:r>
      <w:r>
        <w:t xml:space="preserve"> </w:t>
      </w:r>
      <w:r>
        <w:t xml:space="preserve">Expertos, 2024), con el software representando el 52,1 % del valor total.</w:t>
      </w:r>
      <w:r>
        <w:t xml:space="preserve"> </w:t>
      </w:r>
      <w:r>
        <w:t xml:space="preserve">El segmento de pequeñas clínicas privadas — aproximadamente 5.000</w:t>
      </w:r>
      <w:r>
        <w:t xml:space="preserve"> </w:t>
      </w:r>
      <w:r>
        <w:t xml:space="preserve">establecimientos solo en Argentina (REFES, 2023) — permanece desatendido</w:t>
      </w:r>
      <w:r>
        <w:t xml:space="preserve"> </w:t>
      </w:r>
      <w:r>
        <w:t xml:space="preserve">por soluciones que combinen interoperabilidad estándar e inteligencia</w:t>
      </w:r>
      <w:r>
        <w:t xml:space="preserve"> </w:t>
      </w:r>
      <w:r>
        <w:t xml:space="preserve">operacional accesible.</w:t>
      </w:r>
    </w:p>
    <w:p>
      <w:pPr>
        <w:pStyle w:val="BodyText"/>
      </w:pPr>
      <w:r>
        <w:t xml:space="preserve">El mapa competitivo argentino se estructura en cuatro capas: en la cima,</w:t>
      </w:r>
      <w:r>
        <w:t xml:space="preserve"> </w:t>
      </w:r>
      <w:r>
        <w:t xml:space="preserve">Grupo Cormos (que en 2024 adquirió Meducar y consolidó un portfolio con</w:t>
      </w:r>
      <w:r>
        <w:t xml:space="preserve"> </w:t>
      </w:r>
      <w:r>
        <w:t xml:space="preserve">DrApp, Docturno, iTurnos, Wiri Salud y Receto, gestionando más de 20</w:t>
      </w:r>
      <w:r>
        <w:t xml:space="preserve"> </w:t>
      </w:r>
      <w:r>
        <w:t xml:space="preserve">millones de turnos anuales) ofrece soluciones masivas orientadas a</w:t>
      </w:r>
      <w:r>
        <w:t xml:space="preserve"> </w:t>
      </w:r>
      <w:r>
        <w:t xml:space="preserve">volumen; en el centro, incumbentes locales con base instalada</w:t>
      </w:r>
      <w:r>
        <w:t xml:space="preserve"> </w:t>
      </w:r>
      <w:r>
        <w:t xml:space="preserve">(Macena/Geclisa en Rosario con más de 30 años de trayectoria,</w:t>
      </w:r>
      <w:r>
        <w:t xml:space="preserve"> </w:t>
      </w:r>
      <w:r>
        <w:t xml:space="preserve">TecnoMedicus, ConsultSmart, Zindec) cubren la gestión administrativa sin</w:t>
      </w:r>
      <w:r>
        <w:t xml:space="preserve"> </w:t>
      </w:r>
      <w:r>
        <w:t xml:space="preserve">diferenciación tecnológica; en la capa de SaaS modernos genéricos</w:t>
      </w:r>
      <w:r>
        <w:t xml:space="preserve"> </w:t>
      </w:r>
      <w:r>
        <w:t xml:space="preserve">(AgendaPro, Gendu, Turnito, Nubimed) algunos comenzaron en 2026 a</w:t>
      </w:r>
      <w:r>
        <w:t xml:space="preserve"> </w:t>
      </w:r>
      <w:r>
        <w:t xml:space="preserve">incorporar IA para tareas administrativas; y como competidor regional</w:t>
      </w:r>
      <w:r>
        <w:t xml:space="preserve"> </w:t>
      </w:r>
      <w:r>
        <w:t xml:space="preserve">directo con producto comercial, Geblix (Argentina, con expansión a</w:t>
      </w:r>
      <w:r>
        <w:t xml:space="preserve"> </w:t>
      </w:r>
      <w:r>
        <w:t xml:space="preserve">Uruguay, Chile, Perú y México) ya ofrece predicción de ausentismo por</w:t>
      </w:r>
      <w:r>
        <w:t xml:space="preserve"> </w:t>
      </w:r>
      <w:r>
        <w:t xml:space="preserve">machine learning, recordatorios por WhatsApp e historia clínica digital,</w:t>
      </w:r>
      <w:r>
        <w:t xml:space="preserve"> </w:t>
      </w:r>
      <w:r>
        <w:t xml:space="preserve">aunque sin implementación de FHIR R4 ni foco específico en clínicas de 1 a</w:t>
      </w:r>
      <w:r>
        <w:t xml:space="preserve"> </w:t>
      </w:r>
      <w:r>
        <w:t xml:space="preserve">5 profesionales en Argentina. Kuris se posiciona en el hueco intermedio:</w:t>
      </w:r>
      <w:r>
        <w:t xml:space="preserve"> </w:t>
      </w:r>
      <w:r>
        <w:t xml:space="preserve">modernidad técnica, especialización en clínicas pequeñas argentinas y</w:t>
      </w:r>
      <w:r>
        <w:t xml:space="preserve"> </w:t>
      </w:r>
      <w:r>
        <w:t xml:space="preserve">diferenciación funcional concreta sobre todas las capas.</w:t>
      </w:r>
    </w:p>
    <w:p>
      <w:pPr>
        <w:pStyle w:val="BodyText"/>
      </w:pPr>
      <w:r>
        <w:t xml:space="preserve">El modelo de ingresos es suscripción mensual en dólares (rango tentativo</w:t>
      </w:r>
      <w:r>
        <w:t xml:space="preserve"> </w:t>
      </w:r>
      <w:r>
        <w:t xml:space="preserve">de USD 35 a USD 50 por clínica/mes en plan base, planes superiores para</w:t>
      </w:r>
      <w:r>
        <w:t xml:space="preserve"> </w:t>
      </w:r>
      <w:r>
        <w:t xml:space="preserve">clínicas con más de tres profesionales), sin contrato de permanencia, con</w:t>
      </w:r>
      <w:r>
        <w:t xml:space="preserve"> </w:t>
      </w:r>
      <w:r>
        <w:t xml:space="preserve">acceso íntegramente web. El punto de equilibrio operativo estimado se</w:t>
      </w:r>
      <w:r>
        <w:t xml:space="preserve"> </w:t>
      </w:r>
      <w:r>
        <w:t xml:space="preserve">alcanza entre 12 y 18 clínicas suscriptas, sobre la base de costos fijos</w:t>
      </w:r>
      <w:r>
        <w:t xml:space="preserve"> </w:t>
      </w:r>
      <w:r>
        <w:t xml:space="preserve">operativos proyectados entre USD 85 y USD 145 mensuales (detalle en</w:t>
      </w:r>
      <w:r>
        <w:t xml:space="preserve"> </w:t>
      </w:r>
      <w:r>
        <w:t xml:space="preserve">sección 5.2 y tabla de costos operativos). Este umbral es alcanzable en</w:t>
      </w:r>
      <w:r>
        <w:t xml:space="preserve"> </w:t>
      </w:r>
      <w:r>
        <w:t xml:space="preserve">la fase inicial sin necesidad de financiamiento externo.</w:t>
      </w:r>
    </w:p>
    <w:p>
      <w:pPr>
        <w:pStyle w:val="BodyText"/>
      </w:pPr>
      <w:r>
        <w:t xml:space="preserve">La empresa es unipersonal: Julián Decoppet, estudiante avanzado de</w:t>
      </w:r>
      <w:r>
        <w:t xml:space="preserve"> </w:t>
      </w:r>
      <w:r>
        <w:t xml:space="preserve">Ingeniería en Sistemas en UAI Rosario, es el único desarrollador y</w:t>
      </w:r>
      <w:r>
        <w:t xml:space="preserve"> </w:t>
      </w:r>
      <w:r>
        <w:t xml:space="preserve">fundador. Los logros actuales incluyen infraestructura de producción en</w:t>
      </w:r>
      <w:r>
        <w:t xml:space="preserve"> </w:t>
      </w:r>
      <w:r>
        <w:t xml:space="preserve">funcionamiento, esquema de base de datos multitenant versionado, frontend</w:t>
      </w:r>
      <w:r>
        <w:t xml:space="preserve"> </w:t>
      </w:r>
      <w:r>
        <w:t xml:space="preserve">de autenticación multiclínica navegable y documentación de ingeniería</w:t>
      </w:r>
      <w:r>
        <w:t xml:space="preserve"> </w:t>
      </w:r>
      <w:r>
        <w:t xml:space="preserve">completa (15 ADRs, especificaciones SDD y casos de uso ICONIX), con el</w:t>
      </w:r>
      <w:r>
        <w:t xml:space="preserve"> </w:t>
      </w:r>
      <w:r>
        <w:t xml:space="preserve">producto en desarrollo activo bajo metodología ICONIX.</w:t>
      </w:r>
    </w:p>
    <w:p>
      <w:pPr>
        <w:pStyle w:val="BodyText"/>
      </w:pPr>
      <w:r>
        <w:t xml:space="preserve">La rentabilidad proyectada se sustenta en un modelo de costos fijos</w:t>
      </w:r>
      <w:r>
        <w:t xml:space="preserve"> </w:t>
      </w:r>
      <w:r>
        <w:t xml:space="preserve">controlados y margen bruto alto, característico del modelo SaaS (Bessemer</w:t>
      </w:r>
      <w:r>
        <w:t xml:space="preserve"> </w:t>
      </w:r>
      <w:r>
        <w:t xml:space="preserve">Venture Partners, 2024). Los costos operativos fijos proyectados en la</w:t>
      </w:r>
      <w:r>
        <w:t xml:space="preserve"> </w:t>
      </w:r>
      <w:r>
        <w:t xml:space="preserve">etapa inicial (escenario base) ascienden a entre USD 85 y USD 145</w:t>
      </w:r>
      <w:r>
        <w:t xml:space="preserve"> </w:t>
      </w:r>
      <w:r>
        <w:t xml:space="preserve">mensuales, discriminados en: infraestructura VPS (USD 20–30), API de</w:t>
      </w:r>
      <w:r>
        <w:t xml:space="preserve"> </w:t>
      </w:r>
      <w:r>
        <w:t xml:space="preserve">Claude/Anthropic para módulos LLM (USD 15–40 según volumen de consultas),</w:t>
      </w:r>
      <w:r>
        <w:t xml:space="preserve"> </w:t>
      </w:r>
      <w:r>
        <w:t xml:space="preserve">servicio de correo transaccional (USD 10–15), dominio y certificados</w:t>
      </w:r>
      <w:r>
        <w:t xml:space="preserve"> </w:t>
      </w:r>
      <w:r>
        <w:t xml:space="preserve">(USD 2 prorrateado), y reserva de contingencia operativa (USD 38–60).</w:t>
      </w:r>
      <w:r>
        <w:t xml:space="preserve"> </w:t>
      </w:r>
      <w:r>
        <w:t xml:space="preserve">A partir de 18 clínicas suscriptas en plan base (USD 35–50/mes), el</w:t>
      </w:r>
      <w:r>
        <w:t xml:space="preserve"> </w:t>
      </w:r>
      <w:r>
        <w:t xml:space="preserve">ingreso mensual oscila entre USD 630 y USD 900, lo que genera un margen</w:t>
      </w:r>
      <w:r>
        <w:t xml:space="preserve"> </w:t>
      </w:r>
      <w:r>
        <w:t xml:space="preserve">bruto sobre costos operativos de entre el 77 % y el 84 %. Este rango es</w:t>
      </w:r>
      <w:r>
        <w:t xml:space="preserve"> </w:t>
      </w:r>
      <w:r>
        <w:t xml:space="preserve">consistente con los benchmarks del sector SaaS B2B de salud, donde el</w:t>
      </w:r>
      <w:r>
        <w:t xml:space="preserve"> </w:t>
      </w:r>
      <w:r>
        <w:t xml:space="preserve">margen bruto maduro oscila entre el 70 % y el 85 % (Bessemer Venture</w:t>
      </w:r>
      <w:r>
        <w:t xml:space="preserve"> </w:t>
      </w:r>
      <w:r>
        <w:t xml:space="preserve">Partners, 2024). La reinversión de los primeros ingresos se orientará al</w:t>
      </w:r>
      <w:r>
        <w:t xml:space="preserve"> </w:t>
      </w:r>
      <w:r>
        <w:t xml:space="preserve">desarrollo de funcionalidades del roadmap post-MVP y a la reducción del</w:t>
      </w:r>
      <w:r>
        <w:t xml:space="preserve"> </w:t>
      </w:r>
      <w:r>
        <w:t xml:space="preserve">costo de onboarding por cliente.</w:t>
      </w:r>
    </w:p>
    <w:p>
      <w:pPr>
        <w:pStyle w:val="BodyText"/>
      </w:pPr>
      <w:r>
        <w:t xml:space="preserve">Propuesta asociativa: en la etapa actual, el proyecto no cuenta con</w:t>
      </w:r>
      <w:r>
        <w:t xml:space="preserve"> </w:t>
      </w:r>
      <w:r>
        <w:t xml:space="preserve">socios ni inversores formales. La estrategia asociativa contempla, en</w:t>
      </w:r>
      <w:r>
        <w:t xml:space="preserve"> </w:t>
      </w:r>
      <w:r>
        <w:t xml:space="preserve">orden de prioridad, (a) alianzas de difusión con colegios médicos y</w:t>
      </w:r>
      <w:r>
        <w:t xml:space="preserve"> </w:t>
      </w:r>
      <w:r>
        <w:t xml:space="preserve">asociaciones profesionales de Rosario como canal de validación sectorial,</w:t>
      </w:r>
      <w:r>
        <w:t xml:space="preserve"> </w:t>
      </w:r>
      <w:r>
        <w:t xml:space="preserve">(b) eventuales acuerdos de co-distribución con proveedores de software</w:t>
      </w:r>
      <w:r>
        <w:t xml:space="preserve"> </w:t>
      </w:r>
      <w:r>
        <w:t xml:space="preserve">complementario (laboratorios, farmacias) una vez superada la fase piloto,</w:t>
      </w:r>
      <w:r>
        <w:t xml:space="preserve"> </w:t>
      </w:r>
      <w:r>
        <w:t xml:space="preserve">y (c) apertura a inversión ángel o aceleración a partir de la</w:t>
      </w:r>
      <w:r>
        <w:t xml:space="preserve"> </w:t>
      </w:r>
      <w:r>
        <w:t xml:space="preserve">demostración del product-market fit con datos reales de impacto sobre el</w:t>
      </w:r>
      <w:r>
        <w:t xml:space="preserve"> </w:t>
      </w:r>
      <w:r>
        <w:t xml:space="preserve">ausentismo. Todos estos vínculos son hipótesis a desarrollar en la fase</w:t>
      </w:r>
      <w:r>
        <w:t xml:space="preserve"> </w:t>
      </w:r>
      <w:r>
        <w:t xml:space="preserve">comercial; ninguno constituye un acuerdo vigente.</w:t>
      </w:r>
    </w:p>
    <w:p>
      <w:pPr>
        <w:pStyle w:val="BodyText"/>
      </w:pPr>
      <w:r>
        <w:t xml:space="preserve">El principal riesgo es la lentitud en la adopción inicial frente a una</w:t>
      </w:r>
      <w:r>
        <w:t xml:space="preserve"> </w:t>
      </w:r>
      <w:r>
        <w:t xml:space="preserve">base instalada significativa de incumbentes locales, mitigable mediante</w:t>
      </w:r>
      <w:r>
        <w:t xml:space="preserve"> </w:t>
      </w:r>
      <w:r>
        <w:t xml:space="preserve">una estrategia de acceso piloto gratuito para las primeras clínicas y</w:t>
      </w:r>
      <w:r>
        <w:t xml:space="preserve"> </w:t>
      </w:r>
      <w:r>
        <w:t xml:space="preserve">soporte personalizado del fundador como diferencial frente a proveedores</w:t>
      </w:r>
      <w:r>
        <w:t xml:space="preserve"> </w:t>
      </w:r>
      <w:r>
        <w:t xml:space="preserve">masivos. Las barreras de entrada construidas — complejidad del estándar</w:t>
      </w:r>
      <w:r>
        <w:t xml:space="preserve"> </w:t>
      </w:r>
      <w:r>
        <w:t xml:space="preserve">HL7 FHIR R4 implementado nativamente, aislamiento multitenant desde la</w:t>
      </w:r>
      <w:r>
        <w:t xml:space="preserve"> </w:t>
      </w:r>
      <w:r>
        <w:t xml:space="preserve">arquitectura, y el conjunto de modelos predictivos integrados al flujo</w:t>
      </w:r>
      <w:r>
        <w:t xml:space="preserve"> </w:t>
      </w:r>
      <w:r>
        <w:t xml:space="preserve">operativo — hacen que replicar el producto requiera tiempo y conocimiento</w:t>
      </w:r>
      <w:r>
        <w:t xml:space="preserve"> </w:t>
      </w:r>
      <w:r>
        <w:t xml:space="preserve">especializado en interoperabilidad sanitaria y aprendizaje automático</w:t>
      </w:r>
      <w:r>
        <w:t xml:space="preserve"> </w:t>
      </w:r>
      <w:r>
        <w:t xml:space="preserve">aplicado a salud.</w:t>
      </w:r>
    </w:p>
    <w:bookmarkEnd w:id="21"/>
    <w:bookmarkStart w:id="34" w:name="descripción-general"/>
    <w:p>
      <w:pPr>
        <w:pStyle w:val="Heading1"/>
      </w:pPr>
      <w:r>
        <w:t xml:space="preserve">1. DESCRIPCIÓN GENERAL</w:t>
      </w:r>
    </w:p>
    <w:bookmarkStart w:id="22" w:name="descripción-básica-del-negocio"/>
    <w:p>
      <w:pPr>
        <w:pStyle w:val="Heading2"/>
      </w:pPr>
      <w:r>
        <w:t xml:space="preserve">1.1 Descripción básica del negocio</w:t>
      </w:r>
    </w:p>
    <w:p>
      <w:pPr>
        <w:pStyle w:val="FirstParagraph"/>
      </w:pPr>
      <w:r>
        <w:t xml:space="preserve">Idea de negocio</w:t>
      </w:r>
    </w:p>
    <w:p>
      <w:pPr>
        <w:pStyle w:val="BodyText"/>
      </w:pPr>
      <w:r>
        <w:t xml:space="preserve">Kuris es una plataforma de software como servicio (SaaS) de gestión</w:t>
      </w:r>
      <w:r>
        <w:t xml:space="preserve"> </w:t>
      </w:r>
      <w:r>
        <w:t xml:space="preserve">clínica integral, diseñada específicamente para clínicas médicas privadas de</w:t>
      </w:r>
      <w:r>
        <w:t xml:space="preserve"> </w:t>
      </w:r>
      <w:r>
        <w:t xml:space="preserve">entre 1 y 5 profesionales en Argentina. El sistema centraliza la operación</w:t>
      </w:r>
      <w:r>
        <w:t xml:space="preserve"> </w:t>
      </w:r>
      <w:r>
        <w:t xml:space="preserve">clínica — agenda de turnos, gestión de pacientes, historial clínico y</w:t>
      </w:r>
      <w:r>
        <w:t xml:space="preserve"> </w:t>
      </w:r>
      <w:r>
        <w:t xml:space="preserve">administración de profesionales — bajo un estándar internacional de</w:t>
      </w:r>
      <w:r>
        <w:t xml:space="preserve"> </w:t>
      </w:r>
      <w:r>
        <w:t xml:space="preserve">interoperabilidad médica (FHIR R4), incorporando predicción de ausentismo de</w:t>
      </w:r>
      <w:r>
        <w:t xml:space="preserve"> </w:t>
      </w:r>
      <w:r>
        <w:t xml:space="preserve">pacientes mediante reglas heurísticas diseñadas para evolucionar a Machine</w:t>
      </w:r>
      <w:r>
        <w:t xml:space="preserve"> </w:t>
      </w:r>
      <w:r>
        <w:t xml:space="preserve">Learning, con una hoja de ruta que incluye la sugerencia automática de</w:t>
      </w:r>
      <w:r>
        <w:t xml:space="preserve"> </w:t>
      </w:r>
      <w:r>
        <w:t xml:space="preserve">cobertura de profesionales por franja horaria (post-MVP).</w:t>
      </w:r>
    </w:p>
    <w:p>
      <w:pPr>
        <w:pStyle w:val="BodyText"/>
      </w:pPr>
      <w:r>
        <w:t xml:space="preserve">Justificación</w:t>
      </w:r>
    </w:p>
    <w:p>
      <w:pPr>
        <w:pStyle w:val="BodyText"/>
      </w:pPr>
      <w:r>
        <w:t xml:space="preserve">El sector salud privado en Argentina presenta una oportunidad estructural</w:t>
      </w:r>
      <w:r>
        <w:t xml:space="preserve"> </w:t>
      </w:r>
      <w:r>
        <w:t xml:space="preserve">desatendida: existen aproximadamente 5.000 establecimientos de salud privados</w:t>
      </w:r>
      <w:r>
        <w:t xml:space="preserve"> </w:t>
      </w:r>
      <w:r>
        <w:t xml:space="preserve">registrados (REFES, 2023), mayoritariamente consultorios y centros médicos de</w:t>
      </w:r>
      <w:r>
        <w:t xml:space="preserve"> </w:t>
      </w:r>
      <w:r>
        <w:t xml:space="preserve">pequeña escala, que operan con herramientas de gestión inadecuadas — planillas</w:t>
      </w:r>
      <w:r>
        <w:t xml:space="preserve"> </w:t>
      </w:r>
      <w:r>
        <w:t xml:space="preserve">Excel, agendas en papel o sistemas legacy que no se integran entre sí. La tasa</w:t>
      </w:r>
      <w:r>
        <w:t xml:space="preserve"> </w:t>
      </w:r>
      <w:r>
        <w:t xml:space="preserve">de ausentismo en turnos médicos ronda el 30 % en un análisis regional sobre 1,5</w:t>
      </w:r>
      <w:r>
        <w:t xml:space="preserve"> </w:t>
      </w:r>
      <w:r>
        <w:t xml:space="preserve">millones de turnos de Argentina, Uruguay, Chile, Perú y México (Geblix, 2024);</w:t>
      </w:r>
      <w:r>
        <w:t xml:space="preserve"> </w:t>
      </w:r>
      <w:r>
        <w:t xml:space="preserve">no se dispone de una desagregación pública específica para Argentina, por lo</w:t>
      </w:r>
      <w:r>
        <w:t xml:space="preserve"> </w:t>
      </w:r>
      <w:r>
        <w:t xml:space="preserve">que esta cifra se toma como referencia regional, no como dato nacional exacto.</w:t>
      </w:r>
      <w:r>
        <w:t xml:space="preserve"> </w:t>
      </w:r>
      <w:r>
        <w:t xml:space="preserve">El problema representa pérdidas directas de ingresos para los profesionales y</w:t>
      </w:r>
      <w:r>
        <w:t xml:space="preserve"> </w:t>
      </w:r>
      <w:r>
        <w:t xml:space="preserve">es crónico en el segmento de clínicas pequeñas, que no cuenta con una solución</w:t>
      </w:r>
      <w:r>
        <w:t xml:space="preserve"> </w:t>
      </w:r>
      <w:r>
        <w:t xml:space="preserve">tecnológica accesible ampliamente adoptada.</w:t>
      </w:r>
    </w:p>
    <w:p>
      <w:pPr>
        <w:pStyle w:val="BodyText"/>
      </w:pPr>
      <w:r>
        <w:t xml:space="preserve">El mercado de software médico en Latinoamérica se encuentra en plena expansión:</w:t>
      </w:r>
      <w:r>
        <w:t xml:space="preserve"> </w:t>
      </w:r>
      <w:r>
        <w:t xml:space="preserve">el sector de salud digital regional está valuado en USD 5.755 millones en 2024 y</w:t>
      </w:r>
      <w:r>
        <w:t xml:space="preserve"> </w:t>
      </w:r>
      <w:r>
        <w:t xml:space="preserve">crece a una tasa compuesta anual (CAGR) de 9,5 % proyectada hasta 2034, con el</w:t>
      </w:r>
      <w:r>
        <w:t xml:space="preserve"> </w:t>
      </w:r>
      <w:r>
        <w:t xml:space="preserve">segmento de software representando el 52,1 % del valor total (Informes de</w:t>
      </w:r>
      <w:r>
        <w:t xml:space="preserve"> </w:t>
      </w:r>
      <w:r>
        <w:t xml:space="preserve">Expertos, 2024); esta cifra proviene de un informe de mercado comercial sin</w:t>
      </w:r>
      <w:r>
        <w:t xml:space="preserve"> </w:t>
      </w:r>
      <w:r>
        <w:t xml:space="preserve">metodología pública auditable y se presenta como referencia de tendencia</w:t>
      </w:r>
      <w:r>
        <w:t xml:space="preserve"> </w:t>
      </w:r>
      <w:r>
        <w:t xml:space="preserve">sectorial, no como dato verificado de manera independiente. Los sistemas de</w:t>
      </w:r>
      <w:r>
        <w:t xml:space="preserve"> </w:t>
      </w:r>
      <w:r>
        <w:t xml:space="preserve">gestión clínica disponibles en el mercado local cobran entre USD 10 y USD 25</w:t>
      </w:r>
      <w:r>
        <w:t xml:space="preserve"> </w:t>
      </w:r>
      <w:r>
        <w:t xml:space="preserve">mensuales (Medesk, 2024; DriCloud, 2024); de los competidores relevados en este</w:t>
      </w:r>
      <w:r>
        <w:t xml:space="preserve"> </w:t>
      </w:r>
      <w:r>
        <w:t xml:space="preserve">rango de precio, ninguno combina predicción de ausentismo accionable por</w:t>
      </w:r>
      <w:r>
        <w:t xml:space="preserve"> </w:t>
      </w:r>
      <w:r>
        <w:t xml:space="preserve">paciente con FHIR R4 para clínicas de este tamaño en Argentina —aunque</w:t>
      </w:r>
      <w:r>
        <w:t xml:space="preserve"> </w:t>
      </w:r>
      <w:r>
        <w:t xml:space="preserve">Geblix (2024), con presencia regional, ya ofrece predicción de ausentismo por</w:t>
      </w:r>
      <w:r>
        <w:t xml:space="preserve"> </w:t>
      </w:r>
      <w:r>
        <w:t xml:space="preserve">machine learning sin FHIR ni foco específico en el segmento argentino de 1 a 5</w:t>
      </w:r>
      <w:r>
        <w:t xml:space="preserve"> </w:t>
      </w:r>
      <w:r>
        <w:t xml:space="preserve">profesionales.</w:t>
      </w:r>
      <w:r>
        <w:t xml:space="preserve"> </w:t>
      </w:r>
      <w:r>
        <w:t xml:space="preserve">El posicionamiento de precio de Kuris por encima de ese rango</w:t>
      </w:r>
      <w:r>
        <w:t xml:space="preserve"> </w:t>
      </w:r>
      <w:r>
        <w:t xml:space="preserve">(USD 35–50) se sustenta en el retorno económico medible para el cliente.</w:t>
      </w:r>
      <w:r>
        <w:t xml:space="preserve"> </w:t>
      </w:r>
      <w:r>
        <w:t xml:space="preserve">Considerando una clínica tipo con 100 turnos mensuales, una tasa de</w:t>
      </w:r>
      <w:r>
        <w:t xml:space="preserve"> </w:t>
      </w:r>
      <w:r>
        <w:t xml:space="preserve">ausentismo del 25 % (Geblix, 2024) y un honorario promedio de consulta de</w:t>
      </w:r>
      <w:r>
        <w:t xml:space="preserve"> </w:t>
      </w:r>
      <w:r>
        <w:t xml:space="preserve">$15.000 pesos argentinos (aproximadamente USD 12 al tipo de cambio de</w:t>
      </w:r>
      <w:r>
        <w:t xml:space="preserve"> </w:t>
      </w:r>
      <w:r>
        <w:t xml:space="preserve">junio 2026), los turnos perdidos representan una pérdida mensual de</w:t>
      </w:r>
      <w:r>
        <w:t xml:space="preserve"> </w:t>
      </w:r>
      <w:r>
        <w:t xml:space="preserve">$375.000 pesos (≈ USD 300). Una reducción del ausentismo de tan solo el</w:t>
      </w:r>
      <w:r>
        <w:t xml:space="preserve"> </w:t>
      </w:r>
      <w:r>
        <w:t xml:space="preserve">10 % — umbral conservador para sistemas de recordatorios activos según</w:t>
      </w:r>
      <w:r>
        <w:t xml:space="preserve"> </w:t>
      </w:r>
      <w:r>
        <w:t xml:space="preserve">Gomes et al. (2022) — recupera $37.500 pesos (≈ USD 30) mensuales</w:t>
      </w:r>
      <w:r>
        <w:t xml:space="preserve"> </w:t>
      </w:r>
      <w:r>
        <w:t xml:space="preserve">adicionales: un retorno que supera el costo de la suscripción en plan</w:t>
      </w:r>
      <w:r>
        <w:t xml:space="preserve"> </w:t>
      </w:r>
      <w:r>
        <w:t xml:space="preserve">base. El reporte mensual de ausentismo incluido en el producto hace ese</w:t>
      </w:r>
      <w:r>
        <w:t xml:space="preserve"> </w:t>
      </w:r>
      <w:r>
        <w:t xml:space="preserve">retorno verificable por la clínica mes a mes.</w:t>
      </w:r>
    </w:p>
    <w:p>
      <w:pPr>
        <w:pStyle w:val="BodyText"/>
      </w:pPr>
      <w:r>
        <w:t xml:space="preserve">Tipo de E-Business</w:t>
      </w:r>
    </w:p>
    <w:p>
      <w:pPr>
        <w:pStyle w:val="BodyText"/>
      </w:pPr>
      <w:r>
        <w:t xml:space="preserve">Kuris es un negocio de tipo B2B (Business-to-Business): el cliente directo</w:t>
      </w:r>
      <w:r>
        <w:t xml:space="preserve"> </w:t>
      </w:r>
      <w:r>
        <w:t xml:space="preserve">es la clínica o consultorio médico, no el paciente individual. El modelo de</w:t>
      </w:r>
      <w:r>
        <w:t xml:space="preserve"> </w:t>
      </w:r>
      <w:r>
        <w:t xml:space="preserve">distribución es exclusivamente digital, sin presencia física, lo que lo clasifica</w:t>
      </w:r>
      <w:r>
        <w:t xml:space="preserve"> </w:t>
      </w:r>
      <w:r>
        <w:t xml:space="preserve">como un pure player dentro del e-business.</w:t>
      </w:r>
    </w:p>
    <w:p>
      <w:pPr>
        <w:pStyle w:val="BodyText"/>
      </w:pPr>
      <w:r>
        <w:t xml:space="preserve">En una segunda etapa (fuera del alcance del presente seminario), la plataforma</w:t>
      </w:r>
      <w:r>
        <w:t xml:space="preserve"> </w:t>
      </w:r>
      <w:r>
        <w:t xml:space="preserve">incorporará un componente B2C a través de un marketplace de turnos online donde</w:t>
      </w:r>
      <w:r>
        <w:t xml:space="preserve"> </w:t>
      </w:r>
      <w:r>
        <w:t xml:space="preserve">los pacientes podrán buscar profesionales disponibles, ver slots en tiempo real y</w:t>
      </w:r>
      <w:r>
        <w:t xml:space="preserve"> </w:t>
      </w:r>
      <w:r>
        <w:t xml:space="preserve">reservar sin intervención de la secretaría, configurando un modelo mixto B2B +</w:t>
      </w:r>
      <w:r>
        <w:t xml:space="preserve"> </w:t>
      </w:r>
      <w:r>
        <w:t xml:space="preserve">B2C bajo una misma plataforma.</w:t>
      </w:r>
    </w:p>
    <w:p>
      <w:pPr>
        <w:pStyle w:val="BodyText"/>
      </w:pPr>
      <w:r>
        <w:t xml:space="preserve">Modalidad de E-Commerce</w:t>
      </w:r>
    </w:p>
    <w:p>
      <w:pPr>
        <w:pStyle w:val="BodyText"/>
      </w:pPr>
      <w:r>
        <w:t xml:space="preserve">La modalidad de comercialización es SaaS por suscripción mensual en dólares</w:t>
      </w:r>
      <w:r>
        <w:t xml:space="preserve"> </w:t>
      </w:r>
      <w:r>
        <w:t xml:space="preserve">estadounidenses (USD), con planes escalonados según la cantidad de profesionales</w:t>
      </w:r>
      <w:r>
        <w:t xml:space="preserve"> </w:t>
      </w:r>
      <w:r>
        <w:t xml:space="preserve">y funcionalidades habilitadas. La suscripción es recurrente, procesada de forma</w:t>
      </w:r>
      <w:r>
        <w:t xml:space="preserve"> </w:t>
      </w:r>
      <w:r>
        <w:t xml:space="preserve">digital, sin contrato de permanencia mínima. El acceso al sistema se realiza</w:t>
      </w:r>
      <w:r>
        <w:t xml:space="preserve"> </w:t>
      </w:r>
      <w:r>
        <w:t xml:space="preserve">íntegramente vía navegador web, sin instalación local requerida.</w:t>
      </w:r>
    </w:p>
    <w:bookmarkEnd w:id="22"/>
    <w:bookmarkStart w:id="23" w:name="situación-actual-del-negocio"/>
    <w:p>
      <w:pPr>
        <w:pStyle w:val="Heading2"/>
      </w:pPr>
      <w:r>
        <w:t xml:space="preserve">1.2 Situación actual del negocio</w:t>
      </w:r>
    </w:p>
    <w:p>
      <w:pPr>
        <w:pStyle w:val="FirstParagraph"/>
      </w:pPr>
      <w:r>
        <w:t xml:space="preserve">Kuris se encuentra en etapa de desarrollo inicial (pre-revenue). Al</w:t>
      </w:r>
      <w:r>
        <w:t xml:space="preserve"> </w:t>
      </w:r>
      <w:r>
        <w:t xml:space="preserve">momento de la presente entrega, el proyecto no cuenta con clientes activos ni</w:t>
      </w:r>
      <w:r>
        <w:t xml:space="preserve"> </w:t>
      </w:r>
      <w:r>
        <w:t xml:space="preserve">ingresos. El emprendimiento nació como proyecto de tesis de la carrera de</w:t>
      </w:r>
      <w:r>
        <w:t xml:space="preserve"> </w:t>
      </w:r>
      <w:r>
        <w:t xml:space="preserve">Ingeniería en Sistemas de la Universidad Abierta Interamericana (UAI), con la</w:t>
      </w:r>
      <w:r>
        <w:t xml:space="preserve"> </w:t>
      </w:r>
      <w:r>
        <w:t xml:space="preserve">intención de construir simultáneamente un producto tecnológico real y un caso de</w:t>
      </w:r>
      <w:r>
        <w:t xml:space="preserve"> </w:t>
      </w:r>
      <w:r>
        <w:t xml:space="preserve">estudio académico riguroso.</w:t>
      </w:r>
    </w:p>
    <w:p>
      <w:pPr>
        <w:pStyle w:val="BodyText"/>
      </w:pPr>
      <w:r>
        <w:t xml:space="preserve">Avance técnico al 08/06/2026</w:t>
      </w:r>
    </w:p>
    <w:p>
      <w:pPr>
        <w:pStyle w:val="BodyText"/>
      </w:pPr>
      <w:r>
        <w:t xml:space="preserve">El desarrollo comenzó en abril de 2026. A la fecha se encuentran completados:</w:t>
      </w:r>
    </w:p>
    <w:p>
      <w:pPr>
        <w:numPr>
          <w:ilvl w:val="0"/>
          <w:numId w:val="1003"/>
        </w:numPr>
      </w:pPr>
      <w:r>
        <w:t xml:space="preserve">Infraestructura base: entorno Docker Compose con Nginx, PostgreSQL 16 y</w:t>
      </w:r>
      <w:r>
        <w:t xml:space="preserve"> </w:t>
      </w:r>
      <w:r>
        <w:t xml:space="preserve">Redis 8, configurado y desplegado en servidor VPS propio.</w:t>
      </w:r>
    </w:p>
    <w:p>
      <w:pPr>
        <w:numPr>
          <w:ilvl w:val="0"/>
          <w:numId w:val="1003"/>
        </w:numPr>
      </w:pPr>
      <w:r>
        <w:t xml:space="preserve">Autenticación multiclínica (diseño completo, implementación iniciada):</w:t>
      </w:r>
      <w:r>
        <w:t xml:space="preserve"> </w:t>
      </w:r>
      <w:r>
        <w:t xml:space="preserve">flujo de dos pasos con separación de identidad y membresía — un usuario</w:t>
      </w:r>
      <w:r>
        <w:t xml:space="preserve"> </w:t>
      </w:r>
      <w:r>
        <w:t xml:space="preserve">puede pertenecer a varias clínicas con roles distintos — especificado</w:t>
      </w:r>
      <w:r>
        <w:t xml:space="preserve"> </w:t>
      </w:r>
      <w:r>
        <w:t xml:space="preserve">bajo SDD (ADR-014) con el frontend de login y selección de clínica ya</w:t>
      </w:r>
      <w:r>
        <w:t xml:space="preserve"> </w:t>
      </w:r>
      <w:r>
        <w:t xml:space="preserve">navegable; la implementación del backend es la siguiente tarea del</w:t>
      </w:r>
      <w:r>
        <w:t xml:space="preserve"> </w:t>
      </w:r>
      <w:r>
        <w:t xml:space="preserve">cronograma.</w:t>
      </w:r>
    </w:p>
    <w:p>
      <w:pPr>
        <w:numPr>
          <w:ilvl w:val="0"/>
          <w:numId w:val="1003"/>
        </w:numPr>
      </w:pPr>
      <w:r>
        <w:t xml:space="preserve">Arquitectura definida: diseño de schema multitenant con aislamiento por</w:t>
      </w:r>
      <w:r>
        <w:t xml:space="preserve"> </w:t>
      </w:r>
      <w:r>
        <w:t xml:space="preserve">tenant_id, módulos planificados de pacientes, profesionales, turnos e</w:t>
      </w:r>
      <w:r>
        <w:t xml:space="preserve"> </w:t>
      </w:r>
      <w:r>
        <w:t xml:space="preserve">historial clínico, stack tecnológico seleccionado (Java 21, Spring Boot 3,</w:t>
      </w:r>
      <w:r>
        <w:t xml:space="preserve"> </w:t>
      </w:r>
      <w:r>
        <w:t xml:space="preserve">Spring Security, Spring Data JPA, Angular 18, Angular Material) y</w:t>
      </w:r>
      <w:r>
        <w:t xml:space="preserve"> </w:t>
      </w:r>
      <w:r>
        <w:t xml:space="preserve">metodología de desarrollo acordada (ICONIX + SDD + TDD + Clean Architecture).</w:t>
      </w:r>
    </w:p>
    <w:p>
      <w:pPr>
        <w:numPr>
          <w:ilvl w:val="0"/>
          <w:numId w:val="1003"/>
        </w:numPr>
      </w:pPr>
      <w:r>
        <w:t xml:space="preserve">Diseño de la base de datos multitenant: especificación de la arquitectura</w:t>
      </w:r>
      <w:r>
        <w:t xml:space="preserve"> </w:t>
      </w:r>
      <w:r>
        <w:t xml:space="preserve">de datos con aislamiento por tenant_id, tablas FHIR en JSONB y esquema de</w:t>
      </w:r>
      <w:r>
        <w:t xml:space="preserve"> </w:t>
      </w:r>
      <w:r>
        <w:t xml:space="preserve">migraciones con Flyway (diez migraciones aplicadas). Quince decisiones</w:t>
      </w:r>
      <w:r>
        <w:t xml:space="preserve"> </w:t>
      </w:r>
      <w:r>
        <w:t xml:space="preserve">arquitectónicas documentadas como Architecture Decision Records</w:t>
      </w:r>
      <w:r>
        <w:t xml:space="preserve"> </w:t>
      </w:r>
      <w:r>
        <w:t xml:space="preserve">(ADR-001 a ADR-015).</w:t>
      </w:r>
    </w:p>
    <w:p>
      <w:pPr>
        <w:numPr>
          <w:ilvl w:val="0"/>
          <w:numId w:val="1003"/>
        </w:numPr>
      </w:pPr>
      <w:r>
        <w:t xml:space="preserve">Frontend inicial Angular 18: workspace con Angular Material, flujo de</w:t>
      </w:r>
      <w:r>
        <w:t xml:space="preserve"> </w:t>
      </w:r>
      <w:r>
        <w:t xml:space="preserve">autenticación de dos pasos navegable (presentación, login, selección de</w:t>
      </w:r>
      <w:r>
        <w:t xml:space="preserve"> </w:t>
      </w:r>
      <w:r>
        <w:t xml:space="preserve">clínica y layout principal con cambio de clínica activa).</w:t>
      </w:r>
    </w:p>
    <w:p>
      <w:pPr>
        <w:numPr>
          <w:ilvl w:val="0"/>
          <w:numId w:val="1003"/>
        </w:numPr>
      </w:pPr>
      <w:r>
        <w:t xml:space="preserve">Documentación ICONIX de los cuatro casos de uso core completa: diagrama</w:t>
      </w:r>
      <w:r>
        <w:t xml:space="preserve"> </w:t>
      </w:r>
      <w:r>
        <w:t xml:space="preserve">de casos de uso, especificaciones, modelo de dominio, diagramas de</w:t>
      </w:r>
      <w:r>
        <w:t xml:space="preserve"> </w:t>
      </w:r>
      <w:r>
        <w:t xml:space="preserve">robustez, secuencia y clases, y documentación de patrones de diseño.</w:t>
      </w:r>
    </w:p>
    <w:p>
      <w:pPr>
        <w:pStyle w:val="FirstParagraph"/>
      </w:pPr>
      <w:r>
        <w:t xml:space="preserve">Alcance del MVP del seminario (mayo a diciembre 2026)</w:t>
      </w:r>
    </w:p>
    <w:p>
      <w:pPr>
        <w:pStyle w:val="BodyText"/>
      </w:pPr>
      <w:r>
        <w:t xml:space="preserve">El alcance comprometido para la presentación final del seminario es un MVP</w:t>
      </w:r>
      <w:r>
        <w:t xml:space="preserve"> </w:t>
      </w:r>
      <w:r>
        <w:t xml:space="preserve">(Minimum Viable Product) demostrable, no un producto comercial completo. La</w:t>
      </w:r>
      <w:r>
        <w:t xml:space="preserve"> </w:t>
      </w:r>
      <w:r>
        <w:t xml:space="preserve">diferenciación entre</w:t>
      </w:r>
      <w:r>
        <w:t xml:space="preserve"> </w:t>
      </w:r>
      <w:r>
        <w:t xml:space="preserve">“</w:t>
      </w:r>
      <w:r>
        <w:t xml:space="preserve">alcance del MVP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roadmap post-MVP</w:t>
      </w:r>
      <w:r>
        <w:t xml:space="preserve">”</w:t>
      </w:r>
      <w:r>
        <w:t xml:space="preserve"> </w:t>
      </w:r>
      <w:r>
        <w:t xml:space="preserve">es deliberada:</w:t>
      </w:r>
      <w:r>
        <w:t xml:space="preserve"> </w:t>
      </w:r>
      <w:r>
        <w:t xml:space="preserve">permite priorizar profundidad sobre amplitud, validar la propuesta con clientes</w:t>
      </w:r>
      <w:r>
        <w:t xml:space="preserve"> </w:t>
      </w:r>
      <w:r>
        <w:t xml:space="preserve">piloto y mantener rigor metodológico sobre cada componente entregado.</w:t>
      </w:r>
    </w:p>
    <w:p>
      <w:pPr>
        <w:pStyle w:val="BodyText"/>
      </w:pPr>
      <w:r>
        <w:t xml:space="preserve">Funcionalidades comprometidas para el MVP:</w:t>
      </w:r>
    </w:p>
    <w:p>
      <w:pPr>
        <w:numPr>
          <w:ilvl w:val="0"/>
          <w:numId w:val="1004"/>
        </w:numPr>
        <w:pStyle w:val="Compact"/>
      </w:pPr>
      <w:r>
        <w:t xml:space="preserve">Backend FHIR R4 con recursos críticos (Patient, Practitioner, Appointment,</w:t>
      </w:r>
      <w:r>
        <w:t xml:space="preserve"> </w:t>
      </w:r>
      <w:r>
        <w:t xml:space="preserve">Encounter, Observation, Coverage) sobre arquitectura multitenant.</w:t>
      </w:r>
    </w:p>
    <w:p>
      <w:pPr>
        <w:numPr>
          <w:ilvl w:val="0"/>
          <w:numId w:val="1004"/>
        </w:numPr>
        <w:pStyle w:val="Compact"/>
      </w:pPr>
      <w:r>
        <w:t xml:space="preserve">Módulo de obra social con validación de tope semanal.</w:t>
      </w:r>
    </w:p>
    <w:p>
      <w:pPr>
        <w:numPr>
          <w:ilvl w:val="0"/>
          <w:numId w:val="1004"/>
        </w:numPr>
        <w:pStyle w:val="Compact"/>
      </w:pPr>
      <w:r>
        <w:t xml:space="preserve">Frontend funcional: autenticación, agenda interactiva, ficha de paciente con</w:t>
      </w:r>
      <w:r>
        <w:t xml:space="preserve"> </w:t>
      </w:r>
      <w:r>
        <w:t xml:space="preserve">historia clínica, reporte mensual de ausentismo.</w:t>
      </w:r>
    </w:p>
    <w:p>
      <w:pPr>
        <w:numPr>
          <w:ilvl w:val="0"/>
          <w:numId w:val="1004"/>
        </w:numPr>
        <w:pStyle w:val="Compact"/>
      </w:pPr>
      <w:r>
        <w:t xml:space="preserve">Predicción explicable de ausentismo basada en reglas heurísticas (historial</w:t>
      </w:r>
      <w:r>
        <w:t xml:space="preserve"> </w:t>
      </w:r>
      <w:r>
        <w:t xml:space="preserve">de no-show del paciente, anticipación del turno, día y franja horaria), con</w:t>
      </w:r>
      <w:r>
        <w:t xml:space="preserve"> </w:t>
      </w:r>
      <w:r>
        <w:t xml:space="preserve">factores interpretables por el profesional.</w:t>
      </w:r>
    </w:p>
    <w:p>
      <w:pPr>
        <w:numPr>
          <w:ilvl w:val="0"/>
          <w:numId w:val="1004"/>
        </w:numPr>
        <w:pStyle w:val="Compact"/>
      </w:pPr>
      <w:r>
        <w:t xml:space="preserve">Recordatorios inteligentes diferenciados por riesgo, vía Telegram y email</w:t>
      </w:r>
      <w:r>
        <w:t xml:space="preserve"> </w:t>
      </w:r>
      <w:r>
        <w:t xml:space="preserve">en el MVP (WhatsApp Business API y SMS en fase comercial — la abstracción</w:t>
      </w:r>
      <w:r>
        <w:t xml:space="preserve"> </w:t>
      </w:r>
      <w:r>
        <w:t xml:space="preserve">de canal permite incorporarlos sin modificar la lógica de negocio),</w:t>
      </w:r>
      <w:r>
        <w:t xml:space="preserve"> </w:t>
      </w:r>
      <w:r>
        <w:t xml:space="preserve">priorizando pacientes con mayor probabilidad de ausentismo.</w:t>
      </w:r>
    </w:p>
    <w:p>
      <w:pPr>
        <w:numPr>
          <w:ilvl w:val="0"/>
          <w:numId w:val="1004"/>
        </w:numPr>
        <w:pStyle w:val="Compact"/>
      </w:pPr>
      <w:r>
        <w:t xml:space="preserve">Overbooking inteligente: sugerencia automática de sobreturno o doble agenda</w:t>
      </w:r>
      <w:r>
        <w:t xml:space="preserve"> </w:t>
      </w:r>
      <w:r>
        <w:t xml:space="preserve">para slots con alto riesgo de ausentismo, con tope parametrizable por el</w:t>
      </w:r>
      <w:r>
        <w:t xml:space="preserve"> </w:t>
      </w:r>
      <w:r>
        <w:t xml:space="preserve">profesional.</w:t>
      </w:r>
    </w:p>
    <w:p>
      <w:pPr>
        <w:pStyle w:val="FirstParagraph"/>
      </w:pPr>
      <w:r>
        <w:t xml:space="preserve">La documentación ICONIX del seminario se concentra en cuatro casos de uso core</w:t>
      </w:r>
      <w:r>
        <w:t xml:space="preserve"> </w:t>
      </w:r>
      <w:r>
        <w:t xml:space="preserve">no triviales:</w:t>
      </w:r>
    </w:p>
    <w:p>
      <w:pPr>
        <w:pStyle w:val="BodyText"/>
      </w:pPr>
      <w:r>
        <w:t xml:space="preserve">CU-01 — Reservar turno con validación integral (slot disponible, tope semanal</w:t>
      </w:r>
      <w:r>
        <w:t xml:space="preserve"> </w:t>
      </w:r>
      <w:r>
        <w:t xml:space="preserve">de cobertura, cálculo de riesgo, decisión de overbooking).</w:t>
      </w:r>
      <w:r>
        <w:t xml:space="preserve"> </w:t>
      </w:r>
      <w:r>
        <w:t xml:space="preserve">CU-02 — Gestionar consulta médica (Encounter + Observations, estados,</w:t>
      </w:r>
      <w:r>
        <w:t xml:space="preserve"> </w:t>
      </w:r>
      <w:r>
        <w:t xml:space="preserve">validaciones clínicas).</w:t>
      </w:r>
      <w:r>
        <w:t xml:space="preserve"> </w:t>
      </w:r>
      <w:r>
        <w:t xml:space="preserve">CU-03 — Calcular y notificar predicción de ausentismo (trigger automático,</w:t>
      </w:r>
      <w:r>
        <w:t xml:space="preserve"> </w:t>
      </w:r>
      <w:r>
        <w:t xml:space="preserve">scoring, selección de canal, envío).</w:t>
      </w:r>
      <w:r>
        <w:t xml:space="preserve"> </w:t>
      </w:r>
      <w:r>
        <w:t xml:space="preserve">CU-04 — Sugerir y aplicar overbooking (detección de slots de riesgo,</w:t>
      </w:r>
      <w:r>
        <w:t xml:space="preserve"> </w:t>
      </w:r>
      <w:r>
        <w:t xml:space="preserve">configuración por profesional, ajuste de capacidad).</w:t>
      </w:r>
    </w:p>
    <w:p>
      <w:pPr>
        <w:pStyle w:val="BodyText"/>
      </w:pPr>
      <w:r>
        <w:t xml:space="preserve">Funcionalidades fuera del alcance del seminario (roadmap post-MVP):</w:t>
      </w:r>
    </w:p>
    <w:p>
      <w:pPr>
        <w:numPr>
          <w:ilvl w:val="0"/>
          <w:numId w:val="1005"/>
        </w:numPr>
        <w:pStyle w:val="Compact"/>
      </w:pPr>
      <w:r>
        <w:t xml:space="preserve">Modelos de Machine Learning entrenados por tenant (Random Forest sobre datos</w:t>
      </w:r>
      <w:r>
        <w:t xml:space="preserve"> </w:t>
      </w:r>
      <w:r>
        <w:t xml:space="preserve">reales), que requieren volumen acumulado de turnos inexistente en fase inicial.</w:t>
      </w:r>
    </w:p>
    <w:p>
      <w:pPr>
        <w:numPr>
          <w:ilvl w:val="0"/>
          <w:numId w:val="1005"/>
        </w:numPr>
        <w:pStyle w:val="Compact"/>
      </w:pPr>
      <w:r>
        <w:t xml:space="preserve">Sugerencia automática de cobertura óptima por franja horaria.</w:t>
      </w:r>
    </w:p>
    <w:p>
      <w:pPr>
        <w:numPr>
          <w:ilvl w:val="0"/>
          <w:numId w:val="1005"/>
        </w:numPr>
        <w:pStyle w:val="Compact"/>
      </w:pPr>
      <w:r>
        <w:t xml:space="preserve">Integraciones específicas con obras sociales (validación en línea contra</w:t>
      </w:r>
      <w:r>
        <w:t xml:space="preserve"> </w:t>
      </w:r>
      <w:r>
        <w:t xml:space="preserve">padrones).</w:t>
      </w:r>
    </w:p>
    <w:p>
      <w:pPr>
        <w:numPr>
          <w:ilvl w:val="0"/>
          <w:numId w:val="1005"/>
        </w:numPr>
        <w:pStyle w:val="Compact"/>
      </w:pPr>
      <w:r>
        <w:t xml:space="preserve">Marketplace B2C de turnos para pacientes finales.</w:t>
      </w:r>
    </w:p>
    <w:p>
      <w:pPr>
        <w:numPr>
          <w:ilvl w:val="0"/>
          <w:numId w:val="1005"/>
        </w:numPr>
        <w:pStyle w:val="Compact"/>
      </w:pPr>
      <w:r>
        <w:t xml:space="preserve">Importador masivo desde Excel (en MVP solo carga manual).</w:t>
      </w:r>
    </w:p>
    <w:p>
      <w:pPr>
        <w:pStyle w:val="FirstParagraph"/>
      </w:pPr>
      <w:r>
        <w:t xml:space="preserve">Recursos actuales</w:t>
      </w:r>
    </w:p>
    <w:p>
      <w:pPr>
        <w:pStyle w:val="BodyText"/>
      </w:pPr>
      <w:r>
        <w:t xml:space="preserve">El proyecto es desarrollado en su totalidad por el autor, contando con el</w:t>
      </w:r>
      <w:r>
        <w:t xml:space="preserve"> </w:t>
      </w:r>
      <w:r>
        <w:t xml:space="preserve">asesoramiento de los docentes del Seminario de Trabajo Final. La infraestructura</w:t>
      </w:r>
      <w:r>
        <w:t xml:space="preserve"> </w:t>
      </w:r>
      <w:r>
        <w:t xml:space="preserve">opera sobre un VPS con 4 GB de RAM de costo mensual accesible, lo que mantiene</w:t>
      </w:r>
      <w:r>
        <w:t xml:space="preserve"> </w:t>
      </w:r>
      <w:r>
        <w:t xml:space="preserve">los costos operativos en un mínimo durante la etapa de desarrollo. La asistencia</w:t>
      </w:r>
      <w:r>
        <w:t xml:space="preserve"> </w:t>
      </w:r>
      <w:r>
        <w:t xml:space="preserve">de herramientas de inteligencia artificial generativa en el ciclo de desarrollo</w:t>
      </w:r>
      <w:r>
        <w:t xml:space="preserve"> </w:t>
      </w:r>
      <w:r>
        <w:t xml:space="preserve">(generación de código boilerplate, refactorización, revisión de tests, redacción</w:t>
      </w:r>
      <w:r>
        <w:t xml:space="preserve"> </w:t>
      </w:r>
      <w:r>
        <w:t xml:space="preserve">técnica) es parte explícita de la metodología, no un atajo: las decisiones</w:t>
      </w:r>
      <w:r>
        <w:t xml:space="preserve"> </w:t>
      </w:r>
      <w:r>
        <w:t xml:space="preserve">arquitectónicas, los modelos de dominio y la validación funcional permanecen bajo</w:t>
      </w:r>
      <w:r>
        <w:t xml:space="preserve"> </w:t>
      </w:r>
      <w:r>
        <w:t xml:space="preserve">criterio del autor.</w:t>
      </w:r>
    </w:p>
    <w:p>
      <w:pPr>
        <w:pStyle w:val="BodyText"/>
      </w:pPr>
      <w:r>
        <w:t xml:space="preserve">Validación preliminar de mercado</w:t>
      </w:r>
    </w:p>
    <w:p>
      <w:pPr>
        <w:pStyle w:val="BodyText"/>
      </w:pPr>
      <w:r>
        <w:t xml:space="preserve">El avance técnico es condición necesaria pero no suficiente para la viabilidad</w:t>
      </w:r>
      <w:r>
        <w:t xml:space="preserve"> </w:t>
      </w:r>
      <w:r>
        <w:t xml:space="preserve">del negocio. En la etapa actual, la validación con clientes reales es incipiente</w:t>
      </w:r>
      <w:r>
        <w:t xml:space="preserve"> </w:t>
      </w:r>
      <w:r>
        <w:t xml:space="preserve">y no constituye todavía un proceso de prospección formal: existen conversaciones</w:t>
      </w:r>
      <w:r>
        <w:t xml:space="preserve"> </w:t>
      </w:r>
      <w:r>
        <w:t xml:space="preserve">exploratorias con conocidos del fundador en el ecosistema médico de Rosario,</w:t>
      </w:r>
      <w:r>
        <w:t xml:space="preserve"> </w:t>
      </w:r>
      <w:r>
        <w:t xml:space="preserve">sin compromiso ni fecha acordada, que podrían eventualmente convertirse en</w:t>
      </w:r>
      <w:r>
        <w:t xml:space="preserve"> </w:t>
      </w:r>
      <w:r>
        <w:t xml:space="preserve">candidatos a piloto. El onboarding de un primer piloto en agosto de 2026 (ver</w:t>
      </w:r>
      <w:r>
        <w:t xml:space="preserve"> </w:t>
      </w:r>
      <w:r>
        <w:t xml:space="preserve">sección 5.2) es un objetivo del cronograma, no un hecho en curso ni un acuerdo</w:t>
      </w:r>
      <w:r>
        <w:t xml:space="preserve"> </w:t>
      </w:r>
      <w:r>
        <w:t xml:space="preserve">vigente; si no se concreta en ese plazo, el plan de contingencia del seminario</w:t>
      </w:r>
      <w:r>
        <w:t xml:space="preserve"> </w:t>
      </w:r>
      <w:r>
        <w:t xml:space="preserve">contempla una validación simulada como alternativa (ver Definition of Ready del</w:t>
      </w:r>
      <w:r>
        <w:t xml:space="preserve"> </w:t>
      </w:r>
      <w:r>
        <w:t xml:space="preserve">proyecto). La principal fuente de validación de reglas de negocio del dominio</w:t>
      </w:r>
      <w:r>
        <w:t xml:space="preserve"> </w:t>
      </w:r>
      <w:r>
        <w:t xml:space="preserve">clínico (semántica de SOAP, criterios de codificación CIE-10, lógica de tope</w:t>
      </w:r>
      <w:r>
        <w:t xml:space="preserve"> </w:t>
      </w:r>
      <w:r>
        <w:t xml:space="preserve">semanal de obra social) es, a la fecha, una persona cercana al fundador</w:t>
      </w:r>
      <w:r>
        <w:t xml:space="preserve"> </w:t>
      </w:r>
      <w:r>
        <w:t xml:space="preserve">próxima a recibirse de médica — una consulta de dominio experto, no un piloto</w:t>
      </w:r>
      <w:r>
        <w:t xml:space="preserve"> </w:t>
      </w:r>
      <w:r>
        <w:t xml:space="preserve">comercial ni una validación de mercado. Las hipótesis centrales del modelo —</w:t>
      </w:r>
      <w:r>
        <w:t xml:space="preserve"> </w:t>
      </w:r>
      <w:r>
        <w:t xml:space="preserve">que el ausentismo es un dolor suficientemente costoso como para motivar el</w:t>
      </w:r>
      <w:r>
        <w:t xml:space="preserve"> </w:t>
      </w:r>
      <w:r>
        <w:t xml:space="preserve">cambio de herramientas y que el rango de precio USD 35–50 es absorbible dentro</w:t>
      </w:r>
      <w:r>
        <w:t xml:space="preserve"> </w:t>
      </w:r>
      <w:r>
        <w:t xml:space="preserve">de los costos operativos del consultorio — permanecen sin validar con datos</w:t>
      </w:r>
      <w:r>
        <w:t xml:space="preserve"> </w:t>
      </w:r>
      <w:r>
        <w:t xml:space="preserve">primarios y solo podrán contrastarse si se concreta un piloto real. El cálculo</w:t>
      </w:r>
      <w:r>
        <w:t xml:space="preserve"> </w:t>
      </w:r>
      <w:r>
        <w:t xml:space="preserve">de retorno económico presentado en la sección 1.1 es, por ahora, una proyección</w:t>
      </w:r>
      <w:r>
        <w:t xml:space="preserve"> </w:t>
      </w:r>
      <w:r>
        <w:t xml:space="preserve">basada exclusivamente en fuentes secundarias (Geblix, 2024; Gomes et al., 2022).</w:t>
      </w:r>
    </w:p>
    <w:p>
      <w:pPr>
        <w:pStyle w:val="BodyText"/>
      </w:pPr>
      <w:r>
        <w:t xml:space="preserve">Posición competitiva inicial</w:t>
      </w:r>
    </w:p>
    <w:p>
      <w:pPr>
        <w:pStyle w:val="BodyText"/>
      </w:pPr>
      <w:r>
        <w:t xml:space="preserve">Los sistemas de gestión clínica disponibles en Argentina para el segmento — desde</w:t>
      </w:r>
      <w:r>
        <w:t xml:space="preserve"> </w:t>
      </w:r>
      <w:r>
        <w:t xml:space="preserve">Grupo Cormos (DrApp, Meducar, Docturno) en la capa masiva, hasta incumbentes</w:t>
      </w:r>
      <w:r>
        <w:t xml:space="preserve"> </w:t>
      </w:r>
      <w:r>
        <w:t xml:space="preserve">locales como Macena/Geclisa, TecnoMedicus, ConsultSmart y Zindec en Rosario —</w:t>
      </w:r>
      <w:r>
        <w:t xml:space="preserve"> </w:t>
      </w:r>
      <w:r>
        <w:t xml:space="preserve">ofrecen funcionalidades de agenda, historia clínica y recordatorios automáticos.</w:t>
      </w:r>
      <w:r>
        <w:t xml:space="preserve"> </w:t>
      </w:r>
      <w:r>
        <w:t xml:space="preserve">Algunos competidores (Nubimed, SFS) comenzaron a incorporar IA para tareas</w:t>
      </w:r>
      <w:r>
        <w:t xml:space="preserve"> </w:t>
      </w:r>
      <w:r>
        <w:t xml:space="preserve">administrativas en 2026, y Geblix —con presencia en Argentina y la región—</w:t>
      </w:r>
      <w:r>
        <w:t xml:space="preserve"> </w:t>
      </w:r>
      <w:r>
        <w:t xml:space="preserve">ya ofrece predicción de ausentismo por machine learning como producto</w:t>
      </w:r>
      <w:r>
        <w:t xml:space="preserve"> </w:t>
      </w:r>
      <w:r>
        <w:t xml:space="preserve">comercial, aunque sin FHIR R4 ni foco específico en clínicas de 1 a 5</w:t>
      </w:r>
      <w:r>
        <w:t xml:space="preserve"> </w:t>
      </w:r>
      <w:r>
        <w:t xml:space="preserve">profesionales en Argentina. A nivel de infraestructura abierta e</w:t>
      </w:r>
      <w:r>
        <w:t xml:space="preserve"> </w:t>
      </w:r>
      <w:r>
        <w:t xml:space="preserve">internacional, existen además implementaciones FHIR R4 nativas y</w:t>
      </w:r>
      <w:r>
        <w:t xml:space="preserve"> </w:t>
      </w:r>
      <w:r>
        <w:t xml:space="preserve">documentadas (Medplum, Elation Health, HAPI FHIR), desarrolladas en la</w:t>
      </w:r>
      <w:r>
        <w:t xml:space="preserve"> </w:t>
      </w:r>
      <w:r>
        <w:t xml:space="preserve">sección 2.2. En el relevamiento realizado sobre el mercado argentino del</w:t>
      </w:r>
      <w:r>
        <w:t xml:space="preserve"> </w:t>
      </w:r>
      <w:r>
        <w:t xml:space="preserve">segmento de clínicas pequeñas no se identificó, sin embargo, ningún</w:t>
      </w:r>
      <w:r>
        <w:t xml:space="preserve"> </w:t>
      </w:r>
      <w:r>
        <w:t xml:space="preserve">competidor que combine el estándar HL7 FHIR R4 con predicción explicable de</w:t>
      </w:r>
      <w:r>
        <w:t xml:space="preserve"> </w:t>
      </w:r>
      <w:r>
        <w:t xml:space="preserve">ausentismo integrada al flujo operativo, en el rango de precio propuesto.</w:t>
      </w:r>
      <w:r>
        <w:t xml:space="preserve"> </w:t>
      </w:r>
      <w:r>
        <w:t xml:space="preserve">Kuris identifica esa brecha específica como su ventaja competitiva</w:t>
      </w:r>
      <w:r>
        <w:t xml:space="preserve"> </w:t>
      </w:r>
      <w:r>
        <w:t xml:space="preserve">principal en la fase inicial.</w:t>
      </w:r>
    </w:p>
    <w:bookmarkEnd w:id="23"/>
    <w:bookmarkStart w:id="24" w:name="qué-hace-único-a-su-negocio"/>
    <w:p>
      <w:pPr>
        <w:pStyle w:val="Heading2"/>
      </w:pPr>
      <w:r>
        <w:t xml:space="preserve">1.3 ¿Qué hace único a su negocio?</w:t>
      </w:r>
    </w:p>
    <w:p>
      <w:pPr>
        <w:pStyle w:val="FirstParagraph"/>
      </w:pPr>
      <w:r>
        <w:t xml:space="preserve">La ventaja competitiva de Kuris no reside en una funcionalidad aislada,</w:t>
      </w:r>
      <w:r>
        <w:t xml:space="preserve"> </w:t>
      </w:r>
      <w:r>
        <w:t xml:space="preserve">sino en la combinación —no replicada por la oferta relevada en el segmento de</w:t>
      </w:r>
      <w:r>
        <w:t xml:space="preserve"> </w:t>
      </w:r>
      <w:r>
        <w:t xml:space="preserve">clínicas pequeñas— de tres pilares integrados al mismo flujo operativo:</w:t>
      </w:r>
    </w:p>
    <w:p>
      <w:pPr>
        <w:numPr>
          <w:ilvl w:val="0"/>
          <w:numId w:val="1006"/>
        </w:numPr>
      </w:pPr>
      <w:r>
        <w:t xml:space="preserve">Interoperabilidad nativa sobre HL7 FHIR R4. El sistema no almacena los datos</w:t>
      </w:r>
      <w:r>
        <w:t xml:space="preserve"> </w:t>
      </w:r>
      <w:r>
        <w:t xml:space="preserve">clínicos en un esquema propietario al que luego se le agrega una capa de</w:t>
      </w:r>
      <w:r>
        <w:t xml:space="preserve"> </w:t>
      </w:r>
      <w:r>
        <w:t xml:space="preserve">exportación, sino que adopta el estándar internacional FHIR R4 como modelo de</w:t>
      </w:r>
      <w:r>
        <w:t xml:space="preserve"> </w:t>
      </w:r>
      <w:r>
        <w:t xml:space="preserve">dominio desde la base de la arquitectura. Esto garantiza que la información de</w:t>
      </w:r>
      <w:r>
        <w:t xml:space="preserve"> </w:t>
      </w:r>
      <w:r>
        <w:t xml:space="preserve">pacientes, turnos, encuentros y cobertura sea portable y compatible con sistemas</w:t>
      </w:r>
      <w:r>
        <w:t xml:space="preserve"> </w:t>
      </w:r>
      <w:r>
        <w:t xml:space="preserve">externos —obras sociales, laboratorios, prestadores— tanto en el presente como</w:t>
      </w:r>
      <w:r>
        <w:t xml:space="preserve"> </w:t>
      </w:r>
      <w:r>
        <w:t xml:space="preserve">a futuro. La complejidad de implementar correctamente el estándar constituye,</w:t>
      </w:r>
      <w:r>
        <w:t xml:space="preserve"> </w:t>
      </w:r>
      <w:r>
        <w:t xml:space="preserve">además, una barrera de entrada frente a competidores que partieron de esquemas</w:t>
      </w:r>
      <w:r>
        <w:t xml:space="preserve"> </w:t>
      </w:r>
      <w:r>
        <w:t xml:space="preserve">cerrados. El propio Estado argentino avanza en esta dirección: la Estrategia</w:t>
      </w:r>
      <w:r>
        <w:t xml:space="preserve"> </w:t>
      </w:r>
      <w:r>
        <w:t xml:space="preserve">Nacional de Salud Digital 2025–2030, impulsada con apoyo de la OPS y el BID,</w:t>
      </w:r>
      <w:r>
        <w:t xml:space="preserve"> </w:t>
      </w:r>
      <w:r>
        <w:t xml:space="preserve">consolidó HL7 FHIR como estándar de interoperabilidad federal (Organización</w:t>
      </w:r>
      <w:r>
        <w:t xml:space="preserve"> </w:t>
      </w:r>
      <w:r>
        <w:t xml:space="preserve">Panamericana de la Salud, 2026).</w:t>
      </w:r>
    </w:p>
    <w:p>
      <w:pPr>
        <w:numPr>
          <w:ilvl w:val="0"/>
          <w:numId w:val="1006"/>
        </w:numPr>
      </w:pPr>
      <w:r>
        <w:t xml:space="preserve">Predicción explicable del ausentismo por paciente. El sistema estima la</w:t>
      </w:r>
      <w:r>
        <w:t xml:space="preserve"> </w:t>
      </w:r>
      <w:r>
        <w:t xml:space="preserve">probabilidad de que un paciente no se presente a su turno y expone, en lenguaje</w:t>
      </w:r>
      <w:r>
        <w:t xml:space="preserve"> </w:t>
      </w:r>
      <w:r>
        <w:t xml:space="preserve">comprensible para el profesional, los factores que generan ese riesgo (historial</w:t>
      </w:r>
      <w:r>
        <w:t xml:space="preserve"> </w:t>
      </w:r>
      <w:r>
        <w:t xml:space="preserve">de inasistencias, anticipación de la reserva, día y franja horaria). La</w:t>
      </w:r>
      <w:r>
        <w:t xml:space="preserve"> </w:t>
      </w:r>
      <w:r>
        <w:t xml:space="preserve">condición de explicabilidad es deliberada: a diferencia de un modelo de caja</w:t>
      </w:r>
      <w:r>
        <w:t xml:space="preserve"> </w:t>
      </w:r>
      <w:r>
        <w:t xml:space="preserve">negra, el profesional comprende por qué un turno se marca como riesgoso y</w:t>
      </w:r>
      <w:r>
        <w:t xml:space="preserve"> </w:t>
      </w:r>
      <w:r>
        <w:t xml:space="preserve">conserva el criterio sobre la acción a tomar.</w:t>
      </w:r>
    </w:p>
    <w:p>
      <w:pPr>
        <w:numPr>
          <w:ilvl w:val="0"/>
          <w:numId w:val="1006"/>
        </w:numPr>
      </w:pPr>
      <w:r>
        <w:t xml:space="preserve">Inteligencia operacional accionable sobre la predicción. El riesgo calculado no</w:t>
      </w:r>
      <w:r>
        <w:t xml:space="preserve"> </w:t>
      </w:r>
      <w:r>
        <w:t xml:space="preserve">es un dato pasivo: alimenta recordatorios diferenciados por canal según la</w:t>
      </w:r>
      <w:r>
        <w:t xml:space="preserve"> </w:t>
      </w:r>
      <w:r>
        <w:t xml:space="preserve">probabilidad de ausentismo y habilita la sugerencia de overbooking inteligente</w:t>
      </w:r>
      <w:r>
        <w:t xml:space="preserve"> </w:t>
      </w:r>
      <w:r>
        <w:t xml:space="preserve">sobre los horarios de mayor riesgo, con un tope parametrizable por el</w:t>
      </w:r>
      <w:r>
        <w:t xml:space="preserve"> </w:t>
      </w:r>
      <w:r>
        <w:t xml:space="preserve">profesional. La predicción se traduce directamente en recuperación de ingresos y</w:t>
      </w:r>
      <w:r>
        <w:t xml:space="preserve"> </w:t>
      </w:r>
      <w:r>
        <w:t xml:space="preserve">en eficiencia de la agenda.</w:t>
      </w:r>
    </w:p>
    <w:p>
      <w:pPr>
        <w:numPr>
          <w:ilvl w:val="0"/>
          <w:numId w:val="1006"/>
        </w:numPr>
      </w:pPr>
      <w:r>
        <w:t xml:space="preserve">Asistencia clínica mediante IA generativa. A diferencia de los competidores que</w:t>
      </w:r>
      <w:r>
        <w:t xml:space="preserve"> </w:t>
      </w:r>
      <w:r>
        <w:t xml:space="preserve">incorporaron IA para tareas exclusivamente administrativas (transcripción de</w:t>
      </w:r>
      <w:r>
        <w:t xml:space="preserve"> </w:t>
      </w:r>
      <w:r>
        <w:t xml:space="preserve">llamados, asistentes telefónicos), Kuris integra IA generativa en el</w:t>
      </w:r>
      <w:r>
        <w:t xml:space="preserve"> </w:t>
      </w:r>
      <w:r>
        <w:t xml:space="preserve">flujo clínico: resumen automático de la historia clínica al cierre de cada</w:t>
      </w:r>
      <w:r>
        <w:t xml:space="preserve"> </w:t>
      </w:r>
      <w:r>
        <w:t xml:space="preserve">consulta y sugerencia de clasificación CIE-10 a partir del texto libre del</w:t>
      </w:r>
      <w:r>
        <w:t xml:space="preserve"> </w:t>
      </w:r>
      <w:r>
        <w:t xml:space="preserve">motivo de consulta. Ambas capacidades están implementadas mediante la API de</w:t>
      </w:r>
      <w:r>
        <w:t xml:space="preserve"> </w:t>
      </w:r>
      <w:r>
        <w:t xml:space="preserve">Claude (Anthropic), con el profesional conservando siempre el criterio final</w:t>
      </w:r>
      <w:r>
        <w:t xml:space="preserve"> </w:t>
      </w:r>
      <w:r>
        <w:t xml:space="preserve">sobre la información registrada. Esta integración representa una diferenciación</w:t>
      </w:r>
      <w:r>
        <w:t xml:space="preserve"> </w:t>
      </w:r>
      <w:r>
        <w:t xml:space="preserve">concreta frente a la oferta del segmento: no IA como decoración, sino IA</w:t>
      </w:r>
      <w:r>
        <w:t xml:space="preserve"> </w:t>
      </w:r>
      <w:r>
        <w:t xml:space="preserve">reduciendo la carga administrativa del médico en cada acto clínico.</w:t>
      </w:r>
    </w:p>
    <w:p>
      <w:pPr>
        <w:pStyle w:val="FirstParagraph"/>
      </w:pPr>
      <w:r>
        <w:t xml:space="preserve">En el relevamiento competitivo realizado (mayo de 2026) no se identificó ningún</w:t>
      </w:r>
      <w:r>
        <w:t xml:space="preserve"> </w:t>
      </w:r>
      <w:r>
        <w:t xml:space="preserve">proveedor del segmento de clínicas pequeñas en Argentina que combine estos</w:t>
      </w:r>
      <w:r>
        <w:t xml:space="preserve"> </w:t>
      </w:r>
      <w:r>
        <w:t xml:space="preserve">cuatro pilares de manera nativa e integrada. Tomados de manera aislada, ninguno</w:t>
      </w:r>
      <w:r>
        <w:t xml:space="preserve"> </w:t>
      </w:r>
      <w:r>
        <w:t xml:space="preserve">de los cuatro pilares es exclusivo de Kuris: existe software con FHIR R4 nativo</w:t>
      </w:r>
      <w:r>
        <w:t xml:space="preserve"> </w:t>
      </w:r>
      <w:r>
        <w:t xml:space="preserve">(Medplum, Elation Health, HAPI FHIR) y existe predicción de ausentismo por</w:t>
      </w:r>
      <w:r>
        <w:t xml:space="preserve"> </w:t>
      </w:r>
      <w:r>
        <w:t xml:space="preserve">machine learning en producción comercial, incluso en la región (Geblix). Los</w:t>
      </w:r>
      <w:r>
        <w:t xml:space="preserve"> </w:t>
      </w:r>
      <w:r>
        <w:t xml:space="preserve">incumbentes locales ofrecen gestión administrativa sólida sin interoperabilidad</w:t>
      </w:r>
      <w:r>
        <w:t xml:space="preserve"> </w:t>
      </w:r>
      <w:r>
        <w:t xml:space="preserve">estándar ni capacidades predictivas; los SaaS modernos genéricos incorporaron</w:t>
      </w:r>
      <w:r>
        <w:t xml:space="preserve"> </w:t>
      </w:r>
      <w:r>
        <w:t xml:space="preserve">recientemente IA para tareas administrativas (transcripción, asistentes</w:t>
      </w:r>
      <w:r>
        <w:t xml:space="preserve"> </w:t>
      </w:r>
      <w:r>
        <w:t xml:space="preserve">telefónicos) pero no predicción de ausentismo accionable por paciente ni</w:t>
      </w:r>
      <w:r>
        <w:t xml:space="preserve"> </w:t>
      </w:r>
      <w:r>
        <w:t xml:space="preserve">asistencia en el flujo clínico; las soluciones de consolidación masiva</w:t>
      </w:r>
      <w:r>
        <w:t xml:space="preserve"> </w:t>
      </w:r>
      <w:r>
        <w:t xml:space="preserve">priorizan el volumen y la estandarización por sobre la personalización del</w:t>
      </w:r>
      <w:r>
        <w:t xml:space="preserve"> </w:t>
      </w:r>
      <w:r>
        <w:t xml:space="preserve">flujo por clínica; y Geblix, el competidor regional más cercano en</w:t>
      </w:r>
      <w:r>
        <w:t xml:space="preserve"> </w:t>
      </w:r>
      <w:r>
        <w:t xml:space="preserve">inteligencia operacional, no implementa FHIR R4 ni se especializa en el marco</w:t>
      </w:r>
      <w:r>
        <w:t xml:space="preserve"> </w:t>
      </w:r>
      <w:r>
        <w:t xml:space="preserve">regulatorio argentino. La combinación específica de los cuatro pilares en el</w:t>
      </w:r>
      <w:r>
        <w:t xml:space="preserve"> </w:t>
      </w:r>
      <w:r>
        <w:t xml:space="preserve">nicho de clínicas pequeñas argentinas —no la existencia aislada de cada uno— es</w:t>
      </w:r>
      <w:r>
        <w:t xml:space="preserve"> </w:t>
      </w:r>
      <w:r>
        <w:t xml:space="preserve">lo que constituye la diferenciación de Kuris.</w:t>
      </w:r>
    </w:p>
    <w:bookmarkEnd w:id="24"/>
    <w:bookmarkStart w:id="25" w:name="Xb1f11a66252c527601f95724a285ffe7c5d0d22"/>
    <w:p>
      <w:pPr>
        <w:pStyle w:val="Heading2"/>
      </w:pPr>
      <w:r>
        <w:t xml:space="preserve">1.4 Factores principales que se considera harán exitoso al proyecto</w:t>
      </w:r>
    </w:p>
    <w:p>
      <w:pPr>
        <w:numPr>
          <w:ilvl w:val="0"/>
          <w:numId w:val="1007"/>
        </w:numPr>
      </w:pPr>
      <w:r>
        <w:t xml:space="preserve">Diferenciación funcional concreta y medible. El producto ataca un dolor</w:t>
      </w:r>
      <w:r>
        <w:t xml:space="preserve"> </w:t>
      </w:r>
      <w:r>
        <w:t xml:space="preserve">cuantificado del segmento —el ausentismo, que afecta a aproximadamente el</w:t>
      </w:r>
      <w:r>
        <w:t xml:space="preserve"> </w:t>
      </w:r>
      <w:r>
        <w:t xml:space="preserve">30 % de los turnos médicos a nivel regional (Geblix, 2024)— con una</w:t>
      </w:r>
      <w:r>
        <w:t xml:space="preserve"> </w:t>
      </w:r>
      <w:r>
        <w:t xml:space="preserve">capacidad que la competencia directa en el segmento argentino no ofrece, y</w:t>
      </w:r>
      <w:r>
        <w:t xml:space="preserve"> </w:t>
      </w:r>
      <w:r>
        <w:t xml:space="preserve">cuyo impacto económico es demostrable mes a mes mediante el reporte de</w:t>
      </w:r>
      <w:r>
        <w:t xml:space="preserve"> </w:t>
      </w:r>
      <w:r>
        <w:t xml:space="preserve">ausentismo.</w:t>
      </w:r>
    </w:p>
    <w:p>
      <w:pPr>
        <w:numPr>
          <w:ilvl w:val="0"/>
          <w:numId w:val="1007"/>
        </w:numPr>
      </w:pPr>
      <w:r>
        <w:t xml:space="preserve">Especialización en el segmento desatendido. El foco explícito en clínicas de</w:t>
      </w:r>
      <w:r>
        <w:t xml:space="preserve"> </w:t>
      </w:r>
      <w:r>
        <w:t xml:space="preserve">uno a cinco profesionales evita competir de frente con las soluciones</w:t>
      </w:r>
      <w:r>
        <w:t xml:space="preserve"> </w:t>
      </w:r>
      <w:r>
        <w:t xml:space="preserve">hospitalarias sobredimensionadas y con los productos masivos orientados a</w:t>
      </w:r>
      <w:r>
        <w:t xml:space="preserve"> </w:t>
      </w:r>
      <w:r>
        <w:t xml:space="preserve">volumen, posicionando al producto en un nicho con necesidades específicas y</w:t>
      </w:r>
      <w:r>
        <w:t xml:space="preserve"> </w:t>
      </w:r>
      <w:r>
        <w:t xml:space="preserve">baja cobertura tecnológica adecuada.</w:t>
      </w:r>
    </w:p>
    <w:p>
      <w:pPr>
        <w:numPr>
          <w:ilvl w:val="0"/>
          <w:numId w:val="1007"/>
        </w:numPr>
      </w:pPr>
      <w:r>
        <w:t xml:space="preserve">Estructura de costos liviana y bajo punto de equilibrio. Con costos fijos</w:t>
      </w:r>
      <w:r>
        <w:t xml:space="preserve"> </w:t>
      </w:r>
      <w:r>
        <w:t xml:space="preserve">consolidados en torno a USD 50 mensuales y un punto de equilibrio operativo</w:t>
      </w:r>
      <w:r>
        <w:t xml:space="preserve"> </w:t>
      </w:r>
      <w:r>
        <w:t xml:space="preserve">estimado entre 12 y 18 clínicas suscriptas, el proyecto es viable en su fase</w:t>
      </w:r>
      <w:r>
        <w:t xml:space="preserve"> </w:t>
      </w:r>
      <w:r>
        <w:t xml:space="preserve">inicial sin financiamiento externo, lo que reduce el riesgo financiero y otorga</w:t>
      </w:r>
      <w:r>
        <w:t xml:space="preserve"> </w:t>
      </w:r>
      <w:r>
        <w:t xml:space="preserve">tiempo para validar la adopción.</w:t>
      </w:r>
    </w:p>
    <w:p>
      <w:pPr>
        <w:numPr>
          <w:ilvl w:val="0"/>
          <w:numId w:val="1007"/>
        </w:numPr>
      </w:pPr>
      <w:r>
        <w:t xml:space="preserve">Soporte personalizado del fundador como diferencial relacional. En un mercado</w:t>
      </w:r>
      <w:r>
        <w:t xml:space="preserve"> </w:t>
      </w:r>
      <w:r>
        <w:t xml:space="preserve">donde el soporte de los proveedores masivos tiende a ser impersonal o</w:t>
      </w:r>
      <w:r>
        <w:t xml:space="preserve"> </w:t>
      </w:r>
      <w:r>
        <w:t xml:space="preserve">tercerizado, el acompañamiento directo en el onboarding y en la operación</w:t>
      </w:r>
      <w:r>
        <w:t xml:space="preserve"> </w:t>
      </w:r>
      <w:r>
        <w:t xml:space="preserve">inicial constituye una ventaja relacional concreta para reducir la fricción de</w:t>
      </w:r>
      <w:r>
        <w:t xml:space="preserve"> </w:t>
      </w:r>
      <w:r>
        <w:t xml:space="preserve">adopción.</w:t>
      </w:r>
    </w:p>
    <w:p>
      <w:pPr>
        <w:numPr>
          <w:ilvl w:val="0"/>
          <w:numId w:val="1007"/>
        </w:numPr>
      </w:pPr>
      <w:r>
        <w:t xml:space="preserve">Conocimiento técnico especializado del fundador. La combinación de competencias</w:t>
      </w:r>
      <w:r>
        <w:t xml:space="preserve"> </w:t>
      </w:r>
      <w:r>
        <w:t xml:space="preserve">en arquitectura SaaS, implementación de FHIR y modelos predictivos aplicados a</w:t>
      </w:r>
      <w:r>
        <w:t xml:space="preserve"> </w:t>
      </w:r>
      <w:r>
        <w:t xml:space="preserve">salud es poco frecuente y difícil de replicar en el corto plazo, lo que protege</w:t>
      </w:r>
      <w:r>
        <w:t xml:space="preserve"> </w:t>
      </w:r>
      <w:r>
        <w:t xml:space="preserve">la diferenciación técnica del producto.</w:t>
      </w:r>
    </w:p>
    <w:p>
      <w:pPr>
        <w:numPr>
          <w:ilvl w:val="0"/>
          <w:numId w:val="1007"/>
        </w:numPr>
      </w:pPr>
      <w:r>
        <w:t xml:space="preserve">Calidad y experiencia de uso. La plataforma está diseñada para usuarios no</w:t>
      </w:r>
      <w:r>
        <w:t xml:space="preserve"> </w:t>
      </w:r>
      <w:r>
        <w:t xml:space="preserve">técnicos (médicos, personal de secretaría) con un frontend basado en Angular</w:t>
      </w:r>
      <w:r>
        <w:t xml:space="preserve"> </w:t>
      </w:r>
      <w:r>
        <w:t xml:space="preserve">Material que prioriza la claridad de la interfaz y la velocidad de operación en</w:t>
      </w:r>
      <w:r>
        <w:t xml:space="preserve"> </w:t>
      </w:r>
      <w:r>
        <w:t xml:space="preserve">la jornada diaria. La explicabilidad del riesgo de ausentismo —expuesto en</w:t>
      </w:r>
      <w:r>
        <w:t xml:space="preserve"> </w:t>
      </w:r>
      <w:r>
        <w:t xml:space="preserve">lenguaje comprensible, no como score opaco— es en sí misma un atributo de</w:t>
      </w:r>
      <w:r>
        <w:t xml:space="preserve"> </w:t>
      </w:r>
      <w:r>
        <w:t xml:space="preserve">calidad percibida que diferencia la experiencia de uso frente a competidores que</w:t>
      </w:r>
      <w:r>
        <w:t xml:space="preserve"> </w:t>
      </w:r>
      <w:r>
        <w:t xml:space="preserve">muestran indicadores sin contexto. El acceso web sin instalación local, el</w:t>
      </w:r>
      <w:r>
        <w:t xml:space="preserve"> </w:t>
      </w:r>
      <w:r>
        <w:t xml:space="preserve">onboarding asistido y el precio en el rango accesible (USD 35–50) completan una</w:t>
      </w:r>
      <w:r>
        <w:t xml:space="preserve"> </w:t>
      </w:r>
      <w:r>
        <w:t xml:space="preserve">propuesta donde la calidad del servicio no está reñida con la accesibilidad.</w:t>
      </w:r>
    </w:p>
    <w:bookmarkEnd w:id="25"/>
    <w:bookmarkStart w:id="26" w:name="Xe5bf3ca1752675430e7b4af109a44219005ee4e"/>
    <w:p>
      <w:pPr>
        <w:pStyle w:val="Heading2"/>
      </w:pPr>
      <w:r>
        <w:t xml:space="preserve">1.5 Estrategia: Misión, Visión y Propósito Estratégico</w:t>
      </w:r>
    </w:p>
    <w:p>
      <w:pPr>
        <w:pStyle w:val="FirstParagraph"/>
      </w:pPr>
      <w:r>
        <w:t xml:space="preserve">Misión. Brindar a las clínicas y consultorios médicos pequeños de Argentina una</w:t>
      </w:r>
      <w:r>
        <w:t xml:space="preserve"> </w:t>
      </w:r>
      <w:r>
        <w:t xml:space="preserve">plataforma de gestión clínica accesible, interoperable e inteligente que ordene</w:t>
      </w:r>
      <w:r>
        <w:t xml:space="preserve"> </w:t>
      </w:r>
      <w:r>
        <w:t xml:space="preserve">su operación diaria y reduzca la pérdida de ingresos por ausentismo, sobre</w:t>
      </w:r>
      <w:r>
        <w:t xml:space="preserve"> </w:t>
      </w:r>
      <w:r>
        <w:t xml:space="preserve">estándares internacionales que garanticen la portabilidad y la seguridad de los</w:t>
      </w:r>
      <w:r>
        <w:t xml:space="preserve"> </w:t>
      </w:r>
      <w:r>
        <w:t xml:space="preserve">datos de sus pacientes.</w:t>
      </w:r>
    </w:p>
    <w:p>
      <w:pPr>
        <w:pStyle w:val="BodyText"/>
      </w:pPr>
      <w:r>
        <w:t xml:space="preserve">Visión. Convertirse en la plataforma de referencia para la gestión clínica de</w:t>
      </w:r>
      <w:r>
        <w:t xml:space="preserve"> </w:t>
      </w:r>
      <w:r>
        <w:t xml:space="preserve">pequeñas y medianas clínicas en Argentina y la región, reconocida por combinar</w:t>
      </w:r>
      <w:r>
        <w:t xml:space="preserve"> </w:t>
      </w:r>
      <w:r>
        <w:t xml:space="preserve">interoperabilidad estándar e inteligencia operacional accesible, y por habilitar</w:t>
      </w:r>
      <w:r>
        <w:t xml:space="preserve"> </w:t>
      </w:r>
      <w:r>
        <w:t xml:space="preserve">progresivamente un ecosistema interconectado entre profesionales, pacientes y</w:t>
      </w:r>
      <w:r>
        <w:t xml:space="preserve"> </w:t>
      </w:r>
      <w:r>
        <w:t xml:space="preserve">prestadores.</w:t>
      </w:r>
    </w:p>
    <w:p>
      <w:pPr>
        <w:pStyle w:val="BodyText"/>
      </w:pPr>
      <w:r>
        <w:t xml:space="preserve">Propósito estratégico. Demostrar que la interoperabilidad sanitaria basada en</w:t>
      </w:r>
      <w:r>
        <w:t xml:space="preserve"> </w:t>
      </w:r>
      <w:r>
        <w:t xml:space="preserve">estándares abiertos y la inteligencia operacional explicable —históricamente</w:t>
      </w:r>
      <w:r>
        <w:t xml:space="preserve"> </w:t>
      </w:r>
      <w:r>
        <w:t xml:space="preserve">reservadas a sistemas hospitalarios de gran porte— pueden ofrecerse de manera</w:t>
      </w:r>
      <w:r>
        <w:t xml:space="preserve"> </w:t>
      </w:r>
      <w:r>
        <w:t xml:space="preserve">accesible al segmento de clínicas pequeñas, elevando el estándar tecnológico de</w:t>
      </w:r>
      <w:r>
        <w:t xml:space="preserve"> </w:t>
      </w:r>
      <w:r>
        <w:t xml:space="preserve">un mercado estructuralmente desatendido.</w:t>
      </w:r>
    </w:p>
    <w:bookmarkEnd w:id="26"/>
    <w:bookmarkStart w:id="27" w:name="X390ba5cdfccc8443b74d3da113d6f3edc8aeaf3"/>
    <w:p>
      <w:pPr>
        <w:pStyle w:val="Heading2"/>
      </w:pPr>
      <w:r>
        <w:t xml:space="preserve">1.6 Identificación de la oportunidad de negocio</w:t>
      </w:r>
    </w:p>
    <w:p>
      <w:pPr>
        <w:pStyle w:val="FirstParagraph"/>
      </w:pPr>
      <w:r>
        <w:t xml:space="preserve">La oportunidad surge de la convergencia de cuatro condiciones del contexto:</w:t>
      </w:r>
    </w:p>
    <w:p>
      <w:pPr>
        <w:numPr>
          <w:ilvl w:val="0"/>
          <w:numId w:val="1008"/>
        </w:numPr>
      </w:pPr>
      <w:r>
        <w:t xml:space="preserve">Un problema operativo costoso y crónico: el ausentismo de aproximadamente el</w:t>
      </w:r>
      <w:r>
        <w:t xml:space="preserve"> </w:t>
      </w:r>
      <w:r>
        <w:t xml:space="preserve">30 % de los turnos a nivel regional (Geblix, 2024), que se traduce en</w:t>
      </w:r>
      <w:r>
        <w:t xml:space="preserve"> </w:t>
      </w:r>
      <w:r>
        <w:t xml:space="preserve">pérdidas directas de ingresos para los profesionales y para el cual el</w:t>
      </w:r>
      <w:r>
        <w:t xml:space="preserve"> </w:t>
      </w:r>
      <w:r>
        <w:t xml:space="preserve">segmento de clínicas pequeñas en Argentina no dispone de una solución</w:t>
      </w:r>
      <w:r>
        <w:t xml:space="preserve"> </w:t>
      </w:r>
      <w:r>
        <w:t xml:space="preserve">específica ampliamente adoptada.</w:t>
      </w:r>
    </w:p>
    <w:p>
      <w:pPr>
        <w:numPr>
          <w:ilvl w:val="0"/>
          <w:numId w:val="1008"/>
        </w:numPr>
      </w:pPr>
      <w:r>
        <w:t xml:space="preserve">Un mercado en expansión sostenida: el sector de salud digital en América</w:t>
      </w:r>
      <w:r>
        <w:t xml:space="preserve"> </w:t>
      </w:r>
      <w:r>
        <w:t xml:space="preserve">Latina, valuado en USD 5.755 millones en 2024 y con una tasa de crecimiento</w:t>
      </w:r>
      <w:r>
        <w:t xml:space="preserve"> </w:t>
      </w:r>
      <w:r>
        <w:t xml:space="preserve">anual compuesta del 9,5 % proyectada hasta 2034, donde el software representa</w:t>
      </w:r>
      <w:r>
        <w:t xml:space="preserve"> </w:t>
      </w:r>
      <w:r>
        <w:t xml:space="preserve">el 52,1 % del valor total (Informes de Expertos, 2024).</w:t>
      </w:r>
    </w:p>
    <w:p>
      <w:pPr>
        <w:numPr>
          <w:ilvl w:val="0"/>
          <w:numId w:val="1008"/>
        </w:numPr>
      </w:pPr>
      <w:r>
        <w:t xml:space="preserve">Una base instalada amplia y mal servida: aproximadamente 5.000</w:t>
      </w:r>
      <w:r>
        <w:t xml:space="preserve"> </w:t>
      </w:r>
      <w:r>
        <w:t xml:space="preserve">establecimientos de salud privados registrados en Argentina (REFES, 2023),</w:t>
      </w:r>
      <w:r>
        <w:t xml:space="preserve"> </w:t>
      </w:r>
      <w:r>
        <w:t xml:space="preserve">mayoritariamente de pequeña escala, que operan con planillas, agendas en papel</w:t>
      </w:r>
      <w:r>
        <w:t xml:space="preserve"> </w:t>
      </w:r>
      <w:r>
        <w:t xml:space="preserve">o sistemas heredados sin integración.</w:t>
      </w:r>
    </w:p>
    <w:p>
      <w:pPr>
        <w:numPr>
          <w:ilvl w:val="0"/>
          <w:numId w:val="1008"/>
        </w:numPr>
      </w:pPr>
      <w:r>
        <w:t xml:space="preserve">Una oferta existente sin diferenciación tecnológica en el segmento</w:t>
      </w:r>
      <w:r>
        <w:t xml:space="preserve"> </w:t>
      </w:r>
      <w:r>
        <w:t xml:space="preserve">específico: si bien existen soluciones internacionales y de infraestructura</w:t>
      </w:r>
      <w:r>
        <w:t xml:space="preserve"> </w:t>
      </w:r>
      <w:r>
        <w:t xml:space="preserve">abierta con FHIR R4 nativo (Medplum, Elation Health, HAPI FHIR) y un</w:t>
      </w:r>
      <w:r>
        <w:t xml:space="preserve"> </w:t>
      </w:r>
      <w:r>
        <w:t xml:space="preserve">competidor regional con predicción de ausentismo por machine learning</w:t>
      </w:r>
      <w:r>
        <w:t xml:space="preserve"> </w:t>
      </w:r>
      <w:r>
        <w:t xml:space="preserve">(Geblix), ninguno de los competidores relevados combina FHIR R4,</w:t>
      </w:r>
      <w:r>
        <w:t xml:space="preserve"> </w:t>
      </w:r>
      <w:r>
        <w:t xml:space="preserve">predicción explicable de ausentismo e inteligencia operacional integrada, en</w:t>
      </w:r>
      <w:r>
        <w:t xml:space="preserve"> </w:t>
      </w:r>
      <w:r>
        <w:t xml:space="preserve">un rango de precio accesible, para el segmento de clínicas de 1 a 5</w:t>
      </w:r>
      <w:r>
        <w:t xml:space="preserve"> </w:t>
      </w:r>
      <w:r>
        <w:t xml:space="preserve">profesionales en Argentina.</w:t>
      </w:r>
    </w:p>
    <w:p>
      <w:pPr>
        <w:pStyle w:val="FirstParagraph"/>
      </w:pPr>
      <w:r>
        <w:t xml:space="preserve">La conjunción de un dolor cuantificado, un mercado en crecimiento, una demanda</w:t>
      </w:r>
      <w:r>
        <w:t xml:space="preserve"> </w:t>
      </w:r>
      <w:r>
        <w:t xml:space="preserve">latente amplia y una oferta sin diferenciación define un espacio de oportunidad</w:t>
      </w:r>
      <w:r>
        <w:t xml:space="preserve"> </w:t>
      </w:r>
      <w:r>
        <w:t xml:space="preserve">concreto y defendible.</w:t>
      </w:r>
    </w:p>
    <w:bookmarkEnd w:id="27"/>
    <w:bookmarkStart w:id="28" w:name="capacidades-centrales"/>
    <w:p>
      <w:pPr>
        <w:pStyle w:val="Heading2"/>
      </w:pPr>
      <w:r>
        <w:t xml:space="preserve">1.7 Capacidades centrales</w:t>
      </w:r>
    </w:p>
    <w:p>
      <w:pPr>
        <w:pStyle w:val="FirstParagraph"/>
      </w:pPr>
      <w:r>
        <w:t xml:space="preserve">Las capacidades centrales del emprendimiento —entendidas como las competencias</w:t>
      </w:r>
      <w:r>
        <w:t xml:space="preserve"> </w:t>
      </w:r>
      <w:r>
        <w:t xml:space="preserve">distintivas y difíciles de imitar sobre las que se construye la ventaja— son:</w:t>
      </w:r>
    </w:p>
    <w:p>
      <w:pPr>
        <w:numPr>
          <w:ilvl w:val="0"/>
          <w:numId w:val="1009"/>
        </w:numPr>
      </w:pPr>
      <w:r>
        <w:t xml:space="preserve">Implementación nativa del estándar HL7 FHIR R4, que requiere conocimiento</w:t>
      </w:r>
      <w:r>
        <w:t xml:space="preserve"> </w:t>
      </w:r>
      <w:r>
        <w:t xml:space="preserve">especializado en interoperabilidad sanitaria y constituye una barrera técnica</w:t>
      </w:r>
      <w:r>
        <w:t xml:space="preserve"> </w:t>
      </w:r>
      <w:r>
        <w:t xml:space="preserve">de entrada.</w:t>
      </w:r>
    </w:p>
    <w:p>
      <w:pPr>
        <w:numPr>
          <w:ilvl w:val="0"/>
          <w:numId w:val="1009"/>
        </w:numPr>
      </w:pPr>
      <w:r>
        <w:t xml:space="preserve">Diseño de arquitectura multitenant con aislamiento de datos por clínica desde</w:t>
      </w:r>
      <w:r>
        <w:t xml:space="preserve"> </w:t>
      </w:r>
      <w:r>
        <w:t xml:space="preserve">la base, condición no negociable para operar un SaaS en salud y ya</w:t>
      </w:r>
      <w:r>
        <w:t xml:space="preserve"> </w:t>
      </w:r>
      <w:r>
        <w:t xml:space="preserve">implementada en el prototipo.</w:t>
      </w:r>
    </w:p>
    <w:p>
      <w:pPr>
        <w:numPr>
          <w:ilvl w:val="0"/>
          <w:numId w:val="1009"/>
        </w:numPr>
      </w:pPr>
      <w:r>
        <w:t xml:space="preserve">Desarrollo de modelos predictivos explicables aplicados al dominio clínico, con</w:t>
      </w:r>
      <w:r>
        <w:t xml:space="preserve"> </w:t>
      </w:r>
      <w:r>
        <w:t xml:space="preserve">una trayectoria diseñada que evoluciona desde heurísticas interpretables hacia</w:t>
      </w:r>
      <w:r>
        <w:t xml:space="preserve"> </w:t>
      </w:r>
      <w:r>
        <w:t xml:space="preserve">modelos entrenados por tenant a medida que cada clínica acumula volumen de</w:t>
      </w:r>
      <w:r>
        <w:t xml:space="preserve"> </w:t>
      </w:r>
      <w:r>
        <w:t xml:space="preserve">datos.</w:t>
      </w:r>
    </w:p>
    <w:p>
      <w:pPr>
        <w:numPr>
          <w:ilvl w:val="0"/>
          <w:numId w:val="1009"/>
        </w:numPr>
      </w:pPr>
      <w:r>
        <w:t xml:space="preserve">Capacidad de ejecución técnica integral del fundador, que cubre el ciclo</w:t>
      </w:r>
      <w:r>
        <w:t xml:space="preserve"> </w:t>
      </w:r>
      <w:r>
        <w:t xml:space="preserve">completo —backend, frontend, infraestructura y modelos— y permite iterar el</w:t>
      </w:r>
      <w:r>
        <w:t xml:space="preserve"> </w:t>
      </w:r>
      <w:r>
        <w:t xml:space="preserve">producto con costo estructural mínimo en la fase inicial.</w:t>
      </w:r>
    </w:p>
    <w:bookmarkEnd w:id="28"/>
    <w:bookmarkStart w:id="29" w:name="propuesta-de-valor-para-el-cliente"/>
    <w:p>
      <w:pPr>
        <w:pStyle w:val="Heading2"/>
      </w:pPr>
      <w:r>
        <w:t xml:space="preserve">1.8 Propuesta de valor para el cliente</w:t>
      </w:r>
    </w:p>
    <w:p>
      <w:pPr>
        <w:pStyle w:val="FirstParagraph"/>
      </w:pPr>
      <w:r>
        <w:t xml:space="preserve">Para una clínica o consultorio pequeño, Kuris ofrece:</w:t>
      </w:r>
    </w:p>
    <w:p>
      <w:pPr>
        <w:numPr>
          <w:ilvl w:val="0"/>
          <w:numId w:val="1010"/>
        </w:numPr>
      </w:pPr>
      <w:r>
        <w:t xml:space="preserve">Orden operativo integral: agenda de turnos, gestión de pacientes, historia</w:t>
      </w:r>
      <w:r>
        <w:t xml:space="preserve"> </w:t>
      </w:r>
      <w:r>
        <w:t xml:space="preserve">clínica electrónica y administración de profesionales en una única plataforma</w:t>
      </w:r>
      <w:r>
        <w:t xml:space="preserve"> </w:t>
      </w:r>
      <w:r>
        <w:t xml:space="preserve">web, sin instalación local.</w:t>
      </w:r>
    </w:p>
    <w:p>
      <w:pPr>
        <w:numPr>
          <w:ilvl w:val="0"/>
          <w:numId w:val="1010"/>
        </w:numPr>
      </w:pPr>
      <w:r>
        <w:t xml:space="preserve">Reducción de la pérdida por ausentismo: anticipación del riesgo por turno,</w:t>
      </w:r>
      <w:r>
        <w:t xml:space="preserve"> </w:t>
      </w:r>
      <w:r>
        <w:t xml:space="preserve">recordatorios priorizados según ese riesgo y sugerencia de overbooking para</w:t>
      </w:r>
      <w:r>
        <w:t xml:space="preserve"> </w:t>
      </w:r>
      <w:r>
        <w:t xml:space="preserve">recuperar capacidad, con impacto económico medible.</w:t>
      </w:r>
    </w:p>
    <w:p>
      <w:pPr>
        <w:numPr>
          <w:ilvl w:val="0"/>
          <w:numId w:val="1010"/>
        </w:numPr>
      </w:pPr>
      <w:r>
        <w:t xml:space="preserve">Datos portables y a prueba de futuro: al estar construido sobre FHIR R4, la</w:t>
      </w:r>
      <w:r>
        <w:t xml:space="preserve"> </w:t>
      </w:r>
      <w:r>
        <w:t xml:space="preserve">información clínica es compatible con sistemas externos y no queda cautiva de</w:t>
      </w:r>
      <w:r>
        <w:t xml:space="preserve"> </w:t>
      </w:r>
      <w:r>
        <w:t xml:space="preserve">un formato propietario.</w:t>
      </w:r>
    </w:p>
    <w:p>
      <w:pPr>
        <w:numPr>
          <w:ilvl w:val="0"/>
          <w:numId w:val="1010"/>
        </w:numPr>
      </w:pPr>
      <w:r>
        <w:t xml:space="preserve">Acceso sin fricción: suscripción mensual sin contrato de permanencia, período</w:t>
      </w:r>
      <w:r>
        <w:t xml:space="preserve"> </w:t>
      </w:r>
      <w:r>
        <w:t xml:space="preserve">de prueba gratuito en el lanzamiento y soporte directo del fundador durante el</w:t>
      </w:r>
      <w:r>
        <w:t xml:space="preserve"> </w:t>
      </w:r>
      <w:r>
        <w:t xml:space="preserve">onboarding.</w:t>
      </w:r>
    </w:p>
    <w:p>
      <w:pPr>
        <w:pStyle w:val="FirstParagraph"/>
      </w:pPr>
      <w:r>
        <w:t xml:space="preserve">La promesa central, en una frase: ordenar la operación de la clínica y recuperar</w:t>
      </w:r>
      <w:r>
        <w:t xml:space="preserve"> </w:t>
      </w:r>
      <w:r>
        <w:t xml:space="preserve">los ingresos que el ausentismo se lleva, sobre una base de datos clínicos segura,</w:t>
      </w:r>
      <w:r>
        <w:t xml:space="preserve"> </w:t>
      </w:r>
      <w:r>
        <w:t xml:space="preserve">portable e interoperable.</w:t>
      </w:r>
    </w:p>
    <w:bookmarkEnd w:id="29"/>
    <w:bookmarkStart w:id="30" w:name="valores-nucleares-de-la-organización"/>
    <w:p>
      <w:pPr>
        <w:pStyle w:val="Heading2"/>
      </w:pPr>
      <w:r>
        <w:t xml:space="preserve">1.9 Valores nucleares de la organización</w:t>
      </w:r>
    </w:p>
    <w:p>
      <w:pPr>
        <w:numPr>
          <w:ilvl w:val="0"/>
          <w:numId w:val="1011"/>
        </w:numPr>
        <w:pStyle w:val="Compact"/>
      </w:pPr>
      <w:r>
        <w:t xml:space="preserve">Interoperabilidad por principio: adopción de estándares abiertos como base, no</w:t>
      </w:r>
      <w:r>
        <w:t xml:space="preserve"> </w:t>
      </w:r>
      <w:r>
        <w:t xml:space="preserve">como agregado posterior.</w:t>
      </w:r>
    </w:p>
    <w:p>
      <w:pPr>
        <w:numPr>
          <w:ilvl w:val="0"/>
          <w:numId w:val="1011"/>
        </w:numPr>
        <w:pStyle w:val="Compact"/>
      </w:pPr>
      <w:r>
        <w:t xml:space="preserve">Explicabilidad y criterio profesional: la inteligencia del sistema asiste y</w:t>
      </w:r>
      <w:r>
        <w:t xml:space="preserve"> </w:t>
      </w:r>
      <w:r>
        <w:t xml:space="preserve">explica; la decisión clínica permanece en el profesional.</w:t>
      </w:r>
    </w:p>
    <w:p>
      <w:pPr>
        <w:numPr>
          <w:ilvl w:val="0"/>
          <w:numId w:val="1011"/>
        </w:numPr>
        <w:pStyle w:val="Compact"/>
      </w:pPr>
      <w:r>
        <w:t xml:space="preserve">Privacidad y seguridad de los datos de salud como condición no negociable,</w:t>
      </w:r>
      <w:r>
        <w:t xml:space="preserve"> </w:t>
      </w:r>
      <w:r>
        <w:t xml:space="preserve">alineada con la normativa argentina vigente.</w:t>
      </w:r>
    </w:p>
    <w:p>
      <w:pPr>
        <w:numPr>
          <w:ilvl w:val="0"/>
          <w:numId w:val="1011"/>
        </w:numPr>
        <w:pStyle w:val="Compact"/>
      </w:pPr>
      <w:r>
        <w:t xml:space="preserve">Validación incremental: preferir pocas funcionalidades operando correctamente</w:t>
      </w:r>
      <w:r>
        <w:t xml:space="preserve"> </w:t>
      </w:r>
      <w:r>
        <w:t xml:space="preserve">antes que muchas implementadas de manera superficial.</w:t>
      </w:r>
    </w:p>
    <w:p>
      <w:pPr>
        <w:numPr>
          <w:ilvl w:val="0"/>
          <w:numId w:val="1011"/>
        </w:numPr>
        <w:pStyle w:val="Compact"/>
      </w:pPr>
      <w:r>
        <w:t xml:space="preserve">Cercanía con el cliente: soporte directo y acompañamiento como parte del</w:t>
      </w:r>
      <w:r>
        <w:t xml:space="preserve"> </w:t>
      </w:r>
      <w:r>
        <w:t xml:space="preserve">producto, no como costo a minimizar.</w:t>
      </w:r>
    </w:p>
    <w:bookmarkEnd w:id="30"/>
    <w:bookmarkStart w:id="31" w:name="enfoque-e-iniciativas-estratégicas"/>
    <w:p>
      <w:pPr>
        <w:pStyle w:val="Heading2"/>
      </w:pPr>
      <w:r>
        <w:t xml:space="preserve">1.10 Enfoque e iniciativas estratégicas</w:t>
      </w:r>
    </w:p>
    <w:p>
      <w:pPr>
        <w:pStyle w:val="FirstParagraph"/>
      </w:pPr>
      <w:r>
        <w:t xml:space="preserve">El enfoque estratégico es de diferenciación focalizada (en términos de Porter,</w:t>
      </w:r>
      <w:r>
        <w:t xml:space="preserve"> </w:t>
      </w:r>
      <w:r>
        <w:t xml:space="preserve">1980): atender un segmento específico —clínicas pequeñas— con una propuesta de</w:t>
      </w:r>
      <w:r>
        <w:t xml:space="preserve"> </w:t>
      </w:r>
      <w:r>
        <w:t xml:space="preserve">valor que la competencia generalista no ofrece, evitando la competencia frontal</w:t>
      </w:r>
      <w:r>
        <w:t xml:space="preserve"> </w:t>
      </w:r>
      <w:r>
        <w:t xml:space="preserve">por precio con los productos masivos.</w:t>
      </w:r>
    </w:p>
    <w:p>
      <w:pPr>
        <w:pStyle w:val="BodyText"/>
      </w:pPr>
      <w:r>
        <w:t xml:space="preserve">Las iniciativas estratégicas que materializan ese enfoque son:</w:t>
      </w:r>
    </w:p>
    <w:p>
      <w:pPr>
        <w:numPr>
          <w:ilvl w:val="0"/>
          <w:numId w:val="1012"/>
        </w:numPr>
        <w:pStyle w:val="Compact"/>
      </w:pPr>
      <w:r>
        <w:t xml:space="preserve">Construir y defender la diferenciación técnica (FHIR R4 + predicción</w:t>
      </w:r>
      <w:r>
        <w:t xml:space="preserve"> </w:t>
      </w:r>
      <w:r>
        <w:t xml:space="preserve">explicable + inteligencia operacional) como núcleo del producto.</w:t>
      </w:r>
    </w:p>
    <w:p>
      <w:pPr>
        <w:numPr>
          <w:ilvl w:val="0"/>
          <w:numId w:val="1012"/>
        </w:numPr>
        <w:pStyle w:val="Compact"/>
      </w:pPr>
      <w:r>
        <w:t xml:space="preserve">Validar la adopción con un piloto real en Rosario antes de escalar,</w:t>
      </w:r>
      <w:r>
        <w:t xml:space="preserve"> </w:t>
      </w:r>
      <w:r>
        <w:t xml:space="preserve">capturando métricas de impacto verificables.</w:t>
      </w:r>
    </w:p>
    <w:p>
      <w:pPr>
        <w:numPr>
          <w:ilvl w:val="0"/>
          <w:numId w:val="1012"/>
        </w:numPr>
        <w:pStyle w:val="Compact"/>
      </w:pPr>
      <w:r>
        <w:t xml:space="preserve">Crecer por referidos dentro del ecosistema médico local, aprovechando las</w:t>
      </w:r>
      <w:r>
        <w:t xml:space="preserve"> </w:t>
      </w:r>
      <w:r>
        <w:t xml:space="preserve">cadenas de derivación profesional como canal orgánico.</w:t>
      </w:r>
    </w:p>
    <w:p>
      <w:pPr>
        <w:numPr>
          <w:ilvl w:val="0"/>
          <w:numId w:val="1012"/>
        </w:numPr>
        <w:pStyle w:val="Compact"/>
      </w:pPr>
      <w:r>
        <w:t xml:space="preserve">Mantener una estructura de costos liviana que permita alcanzar el punto de</w:t>
      </w:r>
      <w:r>
        <w:t xml:space="preserve"> </w:t>
      </w:r>
      <w:r>
        <w:t xml:space="preserve">equilibrio sin financiamiento externo.</w:t>
      </w:r>
    </w:p>
    <w:p>
      <w:pPr>
        <w:numPr>
          <w:ilvl w:val="0"/>
          <w:numId w:val="1012"/>
        </w:numPr>
        <w:pStyle w:val="Compact"/>
      </w:pPr>
      <w:r>
        <w:t xml:space="preserve">Preservar una hoja de ruta de extensión (ML por tenant, cobertura óptima,</w:t>
      </w:r>
      <w:r>
        <w:t xml:space="preserve"> </w:t>
      </w:r>
      <w:r>
        <w:t xml:space="preserve">marketplace B2C) diseñada como evolución natural del MVP y no como</w:t>
      </w:r>
      <w:r>
        <w:t xml:space="preserve"> </w:t>
      </w:r>
      <w:r>
        <w:t xml:space="preserve">reescritura.</w:t>
      </w:r>
    </w:p>
    <w:bookmarkEnd w:id="31"/>
    <w:bookmarkStart w:id="32" w:name="áreas-clave-de-resultados"/>
    <w:p>
      <w:pPr>
        <w:pStyle w:val="Heading2"/>
      </w:pPr>
      <w:r>
        <w:t xml:space="preserve">1.11 Áreas clave de resultados</w:t>
      </w:r>
    </w:p>
    <w:p>
      <w:pPr>
        <w:pStyle w:val="FirstParagraph"/>
      </w:pPr>
      <w:r>
        <w:t xml:space="preserve">Las áreas clave de resultados (ACR) sobre las que se medirá el éxito del</w:t>
      </w:r>
      <w:r>
        <w:t xml:space="preserve"> </w:t>
      </w:r>
      <w:r>
        <w:t xml:space="preserve">emprendimiento, con su justificación: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es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 la viabilidad comercial y el alcance del punto de equilibrio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N.º de clínicas suscriptas/activas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Impacto en ausentismo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diferencial cuantificable del producto frente a la competencia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Reducción de la tasa de ausentismo en clínicas usuarias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 SaaS sin permanencia, la recurrencia sostiene los ingresos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Tasa de renovación mensual / churn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Eficiencia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costo variable de onboarding y soporte condiciona la 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 onboarding por cliente; tiempo de soporte/cliente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normativo y confianza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interoperabilidad, la seguridad y la normativa son condición de habilitación comercial en salud; ningún cliente adoptará un sistema que no sea confiable y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Conformidad FHIR R4; cumplimiento Ley 27.706 y Ley 25.326; ausencia de incidentes de privacidad de datos</w:t>
            </w:r>
          </w:p>
        </w:tc>
      </w:tr>
    </w:tbl>
    <w:bookmarkEnd w:id="32"/>
    <w:bookmarkStart w:id="33" w:name="Xfdaed0ec85468c93ad118bebf7029599e28f817"/>
    <w:p>
      <w:pPr>
        <w:pStyle w:val="Heading2"/>
      </w:pPr>
      <w:r>
        <w:t xml:space="preserve">1.12 Ingreso al sector: estrategias de inserción</w:t>
      </w:r>
    </w:p>
    <w:p>
      <w:pPr>
        <w:pStyle w:val="FirstParagraph"/>
      </w:pPr>
      <w:r>
        <w:t xml:space="preserve">Estrategia genérica (Porter, 1980): diferenciación enfocada. El proyecto no</w:t>
      </w:r>
      <w:r>
        <w:t xml:space="preserve"> </w:t>
      </w:r>
      <w:r>
        <w:t xml:space="preserve">compite por costo —los incumbentes masivos tienen ventaja de escala— sino por una</w:t>
      </w:r>
      <w:r>
        <w:t xml:space="preserve"> </w:t>
      </w:r>
      <w:r>
        <w:t xml:space="preserve">propuesta de valor diferenciada dirigida a un segmento acotado, la clínica</w:t>
      </w:r>
      <w:r>
        <w:t xml:space="preserve"> </w:t>
      </w:r>
      <w:r>
        <w:t xml:space="preserve">pequeña, con necesidades que la oferta generalista no resuelve.</w:t>
      </w:r>
    </w:p>
    <w:p>
      <w:pPr>
        <w:pStyle w:val="BodyText"/>
      </w:pPr>
      <w:r>
        <w:t xml:space="preserve">Estrategia frente a la competencia (Kotler et al., 2017): retador / especialista</w:t>
      </w:r>
      <w:r>
        <w:t xml:space="preserve"> </w:t>
      </w:r>
      <w:r>
        <w:t xml:space="preserve">de nicho. Como entrante sin base instalada, Kuris no disputa frontalmente</w:t>
      </w:r>
      <w:r>
        <w:t xml:space="preserve"> </w:t>
      </w:r>
      <w:r>
        <w:t xml:space="preserve">la cuota de los líderes consolidados; se inserta como especialista de nicho que</w:t>
      </w:r>
      <w:r>
        <w:t xml:space="preserve"> </w:t>
      </w:r>
      <w:r>
        <w:t xml:space="preserve">atiende mejor que nadie un segmento específico, construyendo posición desde la</w:t>
      </w:r>
      <w:r>
        <w:t xml:space="preserve"> </w:t>
      </w:r>
      <w:r>
        <w:t xml:space="preserve">especialización antes de ampliar el alcance geográfico (Santa Fe, interior) y</w:t>
      </w:r>
      <w:r>
        <w:t xml:space="preserve"> </w:t>
      </w:r>
      <w:r>
        <w:t xml:space="preserve">funcional (roadmap post-MVP).</w:t>
      </w:r>
    </w:p>
    <w:p>
      <w:pPr>
        <w:pStyle w:val="BodyText"/>
      </w:pPr>
      <w:r>
        <w:t xml:space="preserve">Mecanismos concretos de inserción:</w:t>
      </w:r>
    </w:p>
    <w:p>
      <w:pPr>
        <w:numPr>
          <w:ilvl w:val="0"/>
          <w:numId w:val="1013"/>
        </w:numPr>
        <w:pStyle w:val="Compact"/>
      </w:pPr>
      <w:r>
        <w:t xml:space="preserve">Acceso piloto sin costo para las primeras clínicas, reduciendo la barrera de</w:t>
      </w:r>
      <w:r>
        <w:t xml:space="preserve"> </w:t>
      </w:r>
      <w:r>
        <w:t xml:space="preserve">adopción y generando casos de referencia.</w:t>
      </w:r>
    </w:p>
    <w:p>
      <w:pPr>
        <w:numPr>
          <w:ilvl w:val="0"/>
          <w:numId w:val="1013"/>
        </w:numPr>
        <w:pStyle w:val="Compact"/>
      </w:pPr>
      <w:r>
        <w:t xml:space="preserve">Soporte personalizado del fundador como diferencial relacional frente a los</w:t>
      </w:r>
      <w:r>
        <w:t xml:space="preserve"> </w:t>
      </w:r>
      <w:r>
        <w:t xml:space="preserve">proveedores masivos.</w:t>
      </w:r>
    </w:p>
    <w:p>
      <w:pPr>
        <w:numPr>
          <w:ilvl w:val="0"/>
          <w:numId w:val="1013"/>
        </w:numPr>
        <w:pStyle w:val="Compact"/>
      </w:pPr>
      <w:r>
        <w:t xml:space="preserve">Penetración por boca a boca dentro de las redes de derivación profesional de</w:t>
      </w:r>
      <w:r>
        <w:t xml:space="preserve"> </w:t>
      </w:r>
      <w:r>
        <w:t xml:space="preserve">Rosario.</w:t>
      </w:r>
    </w:p>
    <w:p>
      <w:pPr>
        <w:numPr>
          <w:ilvl w:val="0"/>
          <w:numId w:val="1013"/>
        </w:numPr>
        <w:pStyle w:val="Compact"/>
      </w:pPr>
      <w:r>
        <w:t xml:space="preserve">Alianzas potenciales con colegios médicos y asociaciones profesionales como</w:t>
      </w:r>
      <w:r>
        <w:t xml:space="preserve"> </w:t>
      </w:r>
      <w:r>
        <w:t xml:space="preserve">vehículo de difusión y validación sectorial (hipótesis a validar</w:t>
      </w:r>
      <w:r>
        <w:t xml:space="preserve"> </w:t>
      </w:r>
      <w:r>
        <w:t xml:space="preserve">comercialmente, no acuerdos vigentes).</w:t>
      </w:r>
    </w:p>
    <w:bookmarkEnd w:id="33"/>
    <w:bookmarkEnd w:id="34"/>
    <w:bookmarkStart w:id="37" w:name="análisis-estratégico"/>
    <w:p>
      <w:pPr>
        <w:pStyle w:val="Heading1"/>
      </w:pPr>
      <w:r>
        <w:t xml:space="preserve">2. ANÁLISIS ESTRATÉGICO</w:t>
      </w:r>
    </w:p>
    <w:bookmarkStart w:id="35" w:name="análisis-de-contexto"/>
    <w:p>
      <w:pPr>
        <w:pStyle w:val="Heading2"/>
      </w:pPr>
      <w:r>
        <w:t xml:space="preserve">2.1 Análisis de contexto</w:t>
      </w:r>
    </w:p>
    <w:p>
      <w:pPr>
        <w:pStyle w:val="FirstParagraph"/>
      </w:pPr>
      <w:r>
        <w:t xml:space="preserve">2.1.1 Descripción del escenario local</w:t>
      </w:r>
    </w:p>
    <w:p>
      <w:pPr>
        <w:pStyle w:val="BodyText"/>
      </w:pPr>
      <w:r>
        <w:t xml:space="preserve">El lanzamiento se sitúa en Rosario y su zona de influencia (provincia de Santa</w:t>
      </w:r>
      <w:r>
        <w:t xml:space="preserve"> </w:t>
      </w:r>
      <w:r>
        <w:t xml:space="preserve">Fe), un polo con alta densidad de profesionales de la salud y presencia de</w:t>
      </w:r>
      <w:r>
        <w:t xml:space="preserve"> </w:t>
      </w:r>
      <w:r>
        <w:t xml:space="preserve">proveedores de software médico locales con trayectoria. La elección responde a</w:t>
      </w:r>
      <w:r>
        <w:t xml:space="preserve"> </w:t>
      </w:r>
      <w:r>
        <w:t xml:space="preserve">la cercanía del fundador con el ecosistema médico local —que habilita el canal de</w:t>
      </w:r>
      <w:r>
        <w:t xml:space="preserve"> </w:t>
      </w:r>
      <w:r>
        <w:t xml:space="preserve">referidos y el acompañamiento presencial del piloto— y a la posibilidad de</w:t>
      </w:r>
      <w:r>
        <w:t xml:space="preserve"> </w:t>
      </w:r>
      <w:r>
        <w:t xml:space="preserve">validar la propuesta en un mercado abarcable antes de proyectar la expansión</w:t>
      </w:r>
      <w:r>
        <w:t xml:space="preserve"> </w:t>
      </w:r>
      <w:r>
        <w:t xml:space="preserve">hacia otras ciudades del interior.</w:t>
      </w:r>
    </w:p>
    <w:p>
      <w:pPr>
        <w:pStyle w:val="BodyText"/>
      </w:pPr>
      <w:r>
        <w:t xml:space="preserve">2.1.2 Factores económicos</w:t>
      </w:r>
    </w:p>
    <w:p>
      <w:pPr>
        <w:pStyle w:val="BodyText"/>
      </w:pPr>
      <w:r>
        <w:t xml:space="preserve">El contexto macroeconómico argentino presenta históricamente alta inflación,</w:t>
      </w:r>
      <w:r>
        <w:t xml:space="preserve"> </w:t>
      </w:r>
      <w:r>
        <w:t xml:space="preserve">volatilidad del tipo de cambio y restricciones cambiarias, lo que afecta la</w:t>
      </w:r>
      <w:r>
        <w:t xml:space="preserve"> </w:t>
      </w:r>
      <w:r>
        <w:t xml:space="preserve">previsibilidad de costos e ingresos de cualquier emprendimiento. Kuris</w:t>
      </w:r>
      <w:r>
        <w:t xml:space="preserve"> </w:t>
      </w:r>
      <w:r>
        <w:t xml:space="preserve">mitiga parte de esta exposición fijando la suscripción en dólares</w:t>
      </w:r>
      <w:r>
        <w:t xml:space="preserve"> </w:t>
      </w:r>
      <w:r>
        <w:t xml:space="preserve">estadounidenses, lo que estabiliza el ingreso frente a la depreciación de la</w:t>
      </w:r>
      <w:r>
        <w:t xml:space="preserve"> </w:t>
      </w:r>
      <w:r>
        <w:t xml:space="preserve">moneda local; al mismo tiempo, el precio en dólares puede percibirse como elevado</w:t>
      </w:r>
      <w:r>
        <w:t xml:space="preserve"> </w:t>
      </w:r>
      <w:r>
        <w:t xml:space="preserve">por clínicas pequeñas con ingresos en pesos, tensión que el rango de precio</w:t>
      </w:r>
      <w:r>
        <w:t xml:space="preserve"> </w:t>
      </w:r>
      <w:r>
        <w:t xml:space="preserve">accesible (USD 35–50) busca contener. La estructura de costos liviana reduce la</w:t>
      </w:r>
      <w:r>
        <w:t xml:space="preserve"> </w:t>
      </w:r>
      <w:r>
        <w:t xml:space="preserve">sensibilidad del proyecto a las fluctuaciones macro durante la fase inicial.</w:t>
      </w:r>
    </w:p>
    <w:p>
      <w:pPr>
        <w:pStyle w:val="BodyText"/>
      </w:pPr>
      <w:r>
        <w:t xml:space="preserve">2.1.3 Factores políticos</w:t>
      </w:r>
    </w:p>
    <w:p>
      <w:pPr>
        <w:pStyle w:val="BodyText"/>
      </w:pPr>
      <w:r>
        <w:t xml:space="preserve">El marco regulatorio relevante incluye la Ley 27.706 (Historia Clínica</w:t>
      </w:r>
      <w:r>
        <w:t xml:space="preserve"> </w:t>
      </w:r>
      <w:r>
        <w:t xml:space="preserve">Electrónica) y la Ley 25.326 (Protección de Datos Personales), que establecen</w:t>
      </w:r>
      <w:r>
        <w:t xml:space="preserve"> </w:t>
      </w:r>
      <w:r>
        <w:t xml:space="preserve">obligaciones sobre el tratamiento y la custodia de datos sanitarios. Lejos de ser</w:t>
      </w:r>
      <w:r>
        <w:t xml:space="preserve"> </w:t>
      </w:r>
      <w:r>
        <w:t xml:space="preserve">solo una restricción, el cumplimiento normativo opera como factor habilitante: la</w:t>
      </w:r>
      <w:r>
        <w:t xml:space="preserve"> </w:t>
      </w:r>
      <w:r>
        <w:t xml:space="preserve">arquitectura interoperable y el aislamiento de datos por clínica posicionan</w:t>
      </w:r>
      <w:r>
        <w:t xml:space="preserve"> </w:t>
      </w:r>
      <w:r>
        <w:t xml:space="preserve">favorablemente al producto frente a estos requisitos. La existencia de</w:t>
      </w:r>
      <w:r>
        <w:t xml:space="preserve"> </w:t>
      </w:r>
      <w:r>
        <w:t xml:space="preserve">iniciativas públicas de información sanitaria (SISA, REFES) y la adopción</w:t>
      </w:r>
      <w:r>
        <w:t xml:space="preserve"> </w:t>
      </w:r>
      <w:r>
        <w:t xml:space="preserve">creciente de estándares de interoperabilidad configuran un entorno institucional</w:t>
      </w:r>
      <w:r>
        <w:t xml:space="preserve"> </w:t>
      </w:r>
      <w:r>
        <w:t xml:space="preserve">alineado con la propuesta (Argentina.gob.ar, 2026).</w:t>
      </w:r>
    </w:p>
    <w:p>
      <w:pPr>
        <w:pStyle w:val="BodyText"/>
      </w:pPr>
      <w:r>
        <w:t xml:space="preserve">2.1.4 Factores tecnológicos</w:t>
      </w:r>
    </w:p>
    <w:p>
      <w:pPr>
        <w:pStyle w:val="BodyText"/>
      </w:pPr>
      <w:r>
        <w:t xml:space="preserve">La maduración del estándar HL7 FHIR R4 y del ecosistema SMART on FHIR habilita</w:t>
      </w:r>
      <w:r>
        <w:t xml:space="preserve"> </w:t>
      </w:r>
      <w:r>
        <w:t xml:space="preserve">técnicamente la propuesta de interoperabilidad, y cuenta con respaldo</w:t>
      </w:r>
      <w:r>
        <w:t xml:space="preserve"> </w:t>
      </w:r>
      <w:r>
        <w:t xml:space="preserve">institucional en Argentina: el Ministerio de Salud de la Nación publica guías</w:t>
      </w:r>
      <w:r>
        <w:t xml:space="preserve"> </w:t>
      </w:r>
      <w:r>
        <w:t xml:space="preserve">de implementación y estándares de interoperabilidad —incluyendo HL7 FHIR y</w:t>
      </w:r>
      <w:r>
        <w:t xml:space="preserve"> </w:t>
      </w:r>
      <w:r>
        <w:t xml:space="preserve">SNOMED CT— a través de su Red de Salud Digital (Argentina.gob.ar, s. f.). Esto</w:t>
      </w:r>
      <w:r>
        <w:t xml:space="preserve"> </w:t>
      </w:r>
      <w:r>
        <w:t xml:space="preserve">implica que el ecosistema técnico de FHIR en el país ya tiene infraestructura</w:t>
      </w:r>
      <w:r>
        <w:t xml:space="preserve"> </w:t>
      </w:r>
      <w:r>
        <w:t xml:space="preserve">estatal activa, lo que reduce el riesgo de adopción del estándar pero también</w:t>
      </w:r>
      <w:r>
        <w:t xml:space="preserve"> </w:t>
      </w:r>
      <w:r>
        <w:t xml:space="preserve">matiza la narrativa de que se trata de una tecnología no explorada en el</w:t>
      </w:r>
      <w:r>
        <w:t xml:space="preserve"> </w:t>
      </w:r>
      <w:r>
        <w:t xml:space="preserve">mercado local. La disponibilidad de infraestructura cloud y de servidores</w:t>
      </w:r>
      <w:r>
        <w:t xml:space="preserve"> </w:t>
      </w:r>
      <w:r>
        <w:t xml:space="preserve">virtuales de bajo costo permite operar con una estructura liviana. La</w:t>
      </w:r>
      <w:r>
        <w:t xml:space="preserve"> </w:t>
      </w:r>
      <w:r>
        <w:t xml:space="preserve">incorporación reciente de inteligencia artificial por parte de algunos</w:t>
      </w:r>
      <w:r>
        <w:t xml:space="preserve"> </w:t>
      </w:r>
      <w:r>
        <w:t xml:space="preserve">competidores —enfocada en tareas administrativas, y en el caso de Geblix ya</w:t>
      </w:r>
      <w:r>
        <w:t xml:space="preserve"> </w:t>
      </w:r>
      <w:r>
        <w:t xml:space="preserve">orientada a predicción de ausentismo— confirma que el sector se mueve hacia la</w:t>
      </w:r>
      <w:r>
        <w:t xml:space="preserve"> </w:t>
      </w:r>
      <w:r>
        <w:t xml:space="preserve">automatización inteligente, validando la dirección estratégica del proyecto;</w:t>
      </w:r>
      <w:r>
        <w:t xml:space="preserve"> </w:t>
      </w:r>
      <w:r>
        <w:t xml:space="preserve">la diferenciación de Kuris sobre ese eje depende de la combinación con FHIR</w:t>
      </w:r>
      <w:r>
        <w:t xml:space="preserve"> </w:t>
      </w:r>
      <w:r>
        <w:t xml:space="preserve">R4 nativo y el foco en el segmento de clínicas pequeñas argentinas, no de la</w:t>
      </w:r>
      <w:r>
        <w:t xml:space="preserve"> </w:t>
      </w:r>
      <w:r>
        <w:t xml:space="preserve">novedad de la predicción de ausentismo en sí, que ya es una categoría de</w:t>
      </w:r>
      <w:r>
        <w:t xml:space="preserve"> </w:t>
      </w:r>
      <w:r>
        <w:t xml:space="preserve">producto madura a nivel internacional (eClinicalWorks/healow, ClosedLoop,</w:t>
      </w:r>
      <w:r>
        <w:t xml:space="preserve"> </w:t>
      </w:r>
      <w:r>
        <w:t xml:space="preserve">Arkangel AI).</w:t>
      </w:r>
    </w:p>
    <w:p>
      <w:pPr>
        <w:pStyle w:val="BodyText"/>
      </w:pPr>
      <w:r>
        <w:t xml:space="preserve">El proyecto presenta dependencias tecnológicas externas que configuran riesgos</w:t>
      </w:r>
      <w:r>
        <w:t xml:space="preserve"> </w:t>
      </w:r>
      <w:r>
        <w:t xml:space="preserve">operativos a gestionar:</w:t>
      </w:r>
    </w:p>
    <w:p>
      <w:pPr>
        <w:numPr>
          <w:ilvl w:val="0"/>
          <w:numId w:val="1014"/>
        </w:numPr>
      </w:pPr>
      <w:r>
        <w:t xml:space="preserve">Dependencia de la API de Claude (Anthropic): los módulos de resumen de historia</w:t>
      </w:r>
      <w:r>
        <w:t xml:space="preserve"> </w:t>
      </w:r>
      <w:r>
        <w:t xml:space="preserve">clínica y sugerencia CIE-10 del MVP dependen de esta API. Un cambio de política</w:t>
      </w:r>
      <w:r>
        <w:t xml:space="preserve"> </w:t>
      </w:r>
      <w:r>
        <w:t xml:space="preserve">de precios, una restricción de acceso en Argentina o una interrupción del</w:t>
      </w:r>
      <w:r>
        <w:t xml:space="preserve"> </w:t>
      </w:r>
      <w:r>
        <w:t xml:space="preserve">servicio afectaría directamente estas funcionalidades. Mitigación: la</w:t>
      </w:r>
      <w:r>
        <w:t xml:space="preserve"> </w:t>
      </w:r>
      <w:r>
        <w:t xml:space="preserve">arquitectura separa el módulo LLM mediante una interfaz intercambiable (puerto</w:t>
      </w:r>
      <w:r>
        <w:t xml:space="preserve"> </w:t>
      </w:r>
      <w:r>
        <w:t xml:space="preserve">de salida en Clean Architecture), lo que permite sustituir el proveedor por</w:t>
      </w:r>
      <w:r>
        <w:t xml:space="preserve"> </w:t>
      </w:r>
      <w:r>
        <w:t xml:space="preserve">alternativas compatibles (OpenAI, Gemini, modelos open source vía Ollama) sin</w:t>
      </w:r>
      <w:r>
        <w:t xml:space="preserve"> </w:t>
      </w:r>
      <w:r>
        <w:t xml:space="preserve">reescribir la lógica de negocio.</w:t>
      </w:r>
    </w:p>
    <w:p>
      <w:pPr>
        <w:numPr>
          <w:ilvl w:val="0"/>
          <w:numId w:val="1014"/>
        </w:numPr>
      </w:pPr>
      <w:r>
        <w:t xml:space="preserve">Dependencia de Telegram Bot API: el canal de recordatorios del MVP opera sobre</w:t>
      </w:r>
      <w:r>
        <w:t xml:space="preserve"> </w:t>
      </w:r>
      <w:r>
        <w:t xml:space="preserve">Telegram, que es gratuito y no requiere aprobación. Un bloqueo regulatorio o</w:t>
      </w:r>
      <w:r>
        <w:t xml:space="preserve"> </w:t>
      </w:r>
      <w:r>
        <w:t xml:space="preserve">cambio de política de Telegram en Argentina eliminaría este canal. Mitigación:</w:t>
      </w:r>
      <w:r>
        <w:t xml:space="preserve"> </w:t>
      </w:r>
      <w:r>
        <w:t xml:space="preserve">la abstracción de canal de notificaciones (ADR-013) permite activar email (ya</w:t>
      </w:r>
      <w:r>
        <w:t xml:space="preserve"> </w:t>
      </w:r>
      <w:r>
        <w:t xml:space="preserve">implementado como canal secundario) o WhatsApp Business API sin modificar la</w:t>
      </w:r>
      <w:r>
        <w:t xml:space="preserve"> </w:t>
      </w:r>
      <w:r>
        <w:t xml:space="preserve">lógica de recordatorios.</w:t>
      </w:r>
    </w:p>
    <w:p>
      <w:pPr>
        <w:pStyle w:val="FirstParagraph"/>
      </w:pPr>
      <w:r>
        <w:t xml:space="preserve">Ambas dependencias están gestionadas arquitectónicamente desde el diseño, lo que</w:t>
      </w:r>
      <w:r>
        <w:t xml:space="preserve"> </w:t>
      </w:r>
      <w:r>
        <w:t xml:space="preserve">reduce el riesgo operativo aunque no lo elimina.</w:t>
      </w:r>
    </w:p>
    <w:p>
      <w:pPr>
        <w:pStyle w:val="BodyText"/>
      </w:pPr>
      <w:r>
        <w:t xml:space="preserve">2.1.5 Descripción del escenario: escenario-meta</w:t>
      </w:r>
    </w:p>
    <w:p>
      <w:pPr>
        <w:pStyle w:val="BodyText"/>
      </w:pPr>
      <w:r>
        <w:t xml:space="preserve">El escenario-meta es un mercado de clínicas pequeñas en Rosario y Santa Fe que,</w:t>
      </w:r>
      <w:r>
        <w:t xml:space="preserve"> </w:t>
      </w:r>
      <w:r>
        <w:t xml:space="preserve">en un horizonte de mediano plazo, reconoce la interoperabilidad estándar y la</w:t>
      </w:r>
      <w:r>
        <w:t xml:space="preserve"> </w:t>
      </w:r>
      <w:r>
        <w:t xml:space="preserve">inteligencia operacional explicable como atributos esperables —no</w:t>
      </w:r>
      <w:r>
        <w:t xml:space="preserve"> </w:t>
      </w:r>
      <w:r>
        <w:t xml:space="preserve">excepcionales— de un sistema de gestión clínica. En ese escenario, Kuris</w:t>
      </w:r>
      <w:r>
        <w:t xml:space="preserve"> </w:t>
      </w:r>
      <w:r>
        <w:t xml:space="preserve">opera con una base de clientes que supera el punto de equilibrio, casos de</w:t>
      </w:r>
      <w:r>
        <w:t xml:space="preserve"> </w:t>
      </w:r>
      <w:r>
        <w:t xml:space="preserve">referencia con impacto medible sobre el ausentismo y un canal de crecimiento</w:t>
      </w:r>
      <w:r>
        <w:t xml:space="preserve"> </w:t>
      </w:r>
      <w:r>
        <w:t xml:space="preserve">orgánico por referidos profesionales.</w:t>
      </w:r>
    </w:p>
    <w:p>
      <w:pPr>
        <w:pStyle w:val="BodyText"/>
      </w:pPr>
      <w:r>
        <w:t xml:space="preserve">Los factores de contexto actúan sobre el negocio del siguiente modo: los</w:t>
      </w:r>
      <w:r>
        <w:t xml:space="preserve"> </w:t>
      </w:r>
      <w:r>
        <w:t xml:space="preserve">económicos condicionan la sensibilidad al precio y se mitigan con la estructura</w:t>
      </w:r>
      <w:r>
        <w:t xml:space="preserve"> </w:t>
      </w:r>
      <w:r>
        <w:t xml:space="preserve">liviana y la fijación en dólares; los políticos operan como habilitadores si el</w:t>
      </w:r>
      <w:r>
        <w:t xml:space="preserve"> </w:t>
      </w:r>
      <w:r>
        <w:t xml:space="preserve">producto cumple la normativa de datos de salud; los tecnológicos habilitan y</w:t>
      </w:r>
      <w:r>
        <w:t xml:space="preserve"> </w:t>
      </w:r>
      <w:r>
        <w:t xml:space="preserve">validan la propuesta diferencial.</w:t>
      </w:r>
    </w:p>
    <w:p>
      <w:pPr>
        <w:pStyle w:val="BodyText"/>
      </w:pPr>
      <w:r>
        <w:t xml:space="preserve">2.1.6 Análisis sectorial: oportunidades y amenazas</w:t>
      </w:r>
    </w:p>
    <w:p>
      <w:pPr>
        <w:pStyle w:val="BodyText"/>
      </w:pPr>
      <w:r>
        <w:t xml:space="preserve">Oportunidades:</w:t>
      </w:r>
    </w:p>
    <w:p>
      <w:pPr>
        <w:numPr>
          <w:ilvl w:val="0"/>
          <w:numId w:val="1015"/>
        </w:numPr>
        <w:pStyle w:val="Compact"/>
      </w:pPr>
      <w:r>
        <w:t xml:space="preserve">Segmento amplio y desatendido (≈ 5.000 establecimientos privados,</w:t>
      </w:r>
      <w:r>
        <w:t xml:space="preserve"> </w:t>
      </w:r>
      <w:r>
        <w:t xml:space="preserve">mayoritariamente pequeños).</w:t>
      </w:r>
    </w:p>
    <w:p>
      <w:pPr>
        <w:numPr>
          <w:ilvl w:val="0"/>
          <w:numId w:val="1015"/>
        </w:numPr>
        <w:pStyle w:val="Compact"/>
      </w:pPr>
      <w:r>
        <w:t xml:space="preserve">Problema cuantificado y costoso (ausentismo ≈ 30 % a nivel regional, Geblix</w:t>
      </w:r>
    </w:p>
    <w:p>
      <w:pPr>
        <w:numPr>
          <w:ilvl w:val="1"/>
          <w:numId w:val="1016"/>
        </w:numPr>
        <w:pStyle w:val="Compact"/>
      </w:pPr>
      <w:r>
        <w:t xml:space="preserve">sin solución específica ampliamente adoptada en el segmento argentino</w:t>
      </w:r>
      <w:r>
        <w:t xml:space="preserve"> </w:t>
      </w:r>
      <w:r>
        <w:t xml:space="preserve">de clínicas pequeñas.</w:t>
      </w:r>
    </w:p>
    <w:p>
      <w:pPr>
        <w:numPr>
          <w:ilvl w:val="0"/>
          <w:numId w:val="1015"/>
        </w:numPr>
        <w:pStyle w:val="Compact"/>
      </w:pPr>
      <w:r>
        <w:t xml:space="preserve">Mercado de salud digital regional en crecimiento sostenido (CAGR 9,5 %).</w:t>
      </w:r>
    </w:p>
    <w:p>
      <w:pPr>
        <w:numPr>
          <w:ilvl w:val="0"/>
          <w:numId w:val="1015"/>
        </w:numPr>
        <w:pStyle w:val="Compact"/>
      </w:pPr>
      <w:r>
        <w:t xml:space="preserve">Tendencia sectorial hacia la interoperabilidad y la automatización inteligente.</w:t>
      </w:r>
    </w:p>
    <w:p>
      <w:pPr>
        <w:numPr>
          <w:ilvl w:val="0"/>
          <w:numId w:val="1015"/>
        </w:numPr>
        <w:pStyle w:val="Compact"/>
      </w:pPr>
      <w:r>
        <w:t xml:space="preserve">Marco normativo y estrategia nacional de salud digital que favorecen la</w:t>
      </w:r>
      <w:r>
        <w:t xml:space="preserve"> </w:t>
      </w:r>
      <w:r>
        <w:t xml:space="preserve">adopción de FHIR (Organización Panamericana de la Salud, 2026).</w:t>
      </w:r>
    </w:p>
    <w:p>
      <w:pPr>
        <w:pStyle w:val="FirstParagraph"/>
      </w:pPr>
      <w:r>
        <w:t xml:space="preserve">Amenazas:</w:t>
      </w:r>
    </w:p>
    <w:p>
      <w:pPr>
        <w:numPr>
          <w:ilvl w:val="0"/>
          <w:numId w:val="1017"/>
        </w:numPr>
        <w:pStyle w:val="Compact"/>
      </w:pPr>
      <w:r>
        <w:t xml:space="preserve">Base instalada significativa de incumbentes locales con relación establecida</w:t>
      </w:r>
      <w:r>
        <w:t xml:space="preserve"> </w:t>
      </w:r>
      <w:r>
        <w:t xml:space="preserve">con sus clientes.</w:t>
      </w:r>
    </w:p>
    <w:p>
      <w:pPr>
        <w:numPr>
          <w:ilvl w:val="0"/>
          <w:numId w:val="1017"/>
        </w:numPr>
        <w:pStyle w:val="Compact"/>
      </w:pPr>
      <w:r>
        <w:t xml:space="preserve">Posible incorporación de capacidades predictivas por parte de competidores con</w:t>
      </w:r>
      <w:r>
        <w:t xml:space="preserve"> </w:t>
      </w:r>
      <w:r>
        <w:t xml:space="preserve">más recursos.</w:t>
      </w:r>
    </w:p>
    <w:p>
      <w:pPr>
        <w:numPr>
          <w:ilvl w:val="0"/>
          <w:numId w:val="1017"/>
        </w:numPr>
        <w:pStyle w:val="Compact"/>
      </w:pPr>
      <w:r>
        <w:t xml:space="preserve">Sensibilidad al precio en dólares de clínicas con ingresos en pesos.</w:t>
      </w:r>
    </w:p>
    <w:p>
      <w:pPr>
        <w:numPr>
          <w:ilvl w:val="0"/>
          <w:numId w:val="1017"/>
        </w:numPr>
        <w:pStyle w:val="Compact"/>
      </w:pPr>
      <w:r>
        <w:t xml:space="preserve">Volatilidad macroeconómica que afecta las decisiones de inversión de los</w:t>
      </w:r>
      <w:r>
        <w:t xml:space="preserve"> </w:t>
      </w:r>
      <w:r>
        <w:t xml:space="preserve">clientes.</w:t>
      </w:r>
    </w:p>
    <w:p>
      <w:pPr>
        <w:numPr>
          <w:ilvl w:val="0"/>
          <w:numId w:val="1017"/>
        </w:numPr>
        <w:pStyle w:val="Compact"/>
      </w:pPr>
      <w:r>
        <w:t xml:space="preserve">Inercia y resistencia al cambio en clínicas acostumbradas a herramientas</w:t>
      </w:r>
      <w:r>
        <w:t xml:space="preserve"> </w:t>
      </w:r>
      <w:r>
        <w:t xml:space="preserve">heredadas.</w:t>
      </w:r>
    </w:p>
    <w:bookmarkEnd w:id="35"/>
    <w:bookmarkStart w:id="36" w:name="análisis-de-la-competencia"/>
    <w:p>
      <w:pPr>
        <w:pStyle w:val="Heading2"/>
      </w:pPr>
      <w:r>
        <w:t xml:space="preserve">2.2 Análisis de la competencia</w:t>
      </w:r>
    </w:p>
    <w:p>
      <w:pPr>
        <w:pStyle w:val="FirstParagraph"/>
      </w:pPr>
      <w:r>
        <w:t xml:space="preserve">2.2.1 Principales competidores directos</w:t>
      </w:r>
    </w:p>
    <w:p>
      <w:pPr>
        <w:pStyle w:val="BodyText"/>
      </w:pPr>
      <w:r>
        <w:t xml:space="preserve">El mercado argentino de software de gestión clínica para el segmento pequeño se</w:t>
      </w:r>
      <w:r>
        <w:t xml:space="preserve"> </w:t>
      </w:r>
      <w:r>
        <w:t xml:space="preserve">estructura en cuatro capas:</w:t>
      </w:r>
    </w:p>
    <w:p>
      <w:pPr>
        <w:numPr>
          <w:ilvl w:val="0"/>
          <w:numId w:val="1018"/>
        </w:numPr>
      </w:pPr>
      <w:r>
        <w:t xml:space="preserve">Capa de consolidación nacional. Grupo Cormos, que en 2024 adquirió Meducar y</w:t>
      </w:r>
      <w:r>
        <w:t xml:space="preserve"> </w:t>
      </w:r>
      <w:r>
        <w:t xml:space="preserve">consolidó un portfolio (DrApp, Docturno, iTurnos, Wiri Salud, Receto) que</w:t>
      </w:r>
      <w:r>
        <w:t xml:space="preserve"> </w:t>
      </w:r>
      <w:r>
        <w:t xml:space="preserve">gestiona más de 20 millones de turnos anuales y digitaliza aproximadamente</w:t>
      </w:r>
      <w:r>
        <w:t xml:space="preserve"> </w:t>
      </w:r>
      <w:r>
        <w:t xml:space="preserve">25.000 profesionales y 6.000 centros (Grupo Cormos, 2024). Orientado a volumen</w:t>
      </w:r>
      <w:r>
        <w:t xml:space="preserve"> </w:t>
      </w:r>
      <w:r>
        <w:t xml:space="preserve">y estandarización, no a integraciones específicas ni a flujos personalizados</w:t>
      </w:r>
      <w:r>
        <w:t xml:space="preserve"> </w:t>
      </w:r>
      <w:r>
        <w:t xml:space="preserve">por clínica.</w:t>
      </w:r>
    </w:p>
    <w:p>
      <w:pPr>
        <w:numPr>
          <w:ilvl w:val="0"/>
          <w:numId w:val="1018"/>
        </w:numPr>
      </w:pPr>
      <w:r>
        <w:t xml:space="preserve">Capa de incumbentes locales. Proveedores con trayectoria y base de clientes</w:t>
      </w:r>
      <w:r>
        <w:t xml:space="preserve"> </w:t>
      </w:r>
      <w:r>
        <w:t xml:space="preserve">establecida: Macena/Geclisa (Rosario, más de 30 años y unos 230 clientes en</w:t>
      </w:r>
      <w:r>
        <w:t xml:space="preserve"> </w:t>
      </w:r>
      <w:r>
        <w:t xml:space="preserve">producción), TecnoMedicus, ConsultSmart, Medicloud, Zindec (Rosario). Productos</w:t>
      </w:r>
      <w:r>
        <w:t xml:space="preserve"> </w:t>
      </w:r>
      <w:r>
        <w:t xml:space="preserve">sólidos en gestión administrativa y facturación, pero sin arquitectura</w:t>
      </w:r>
      <w:r>
        <w:t xml:space="preserve"> </w:t>
      </w:r>
      <w:r>
        <w:t xml:space="preserve">interoperable nativa ni capacidades predictivas integradas al flujo operativo.</w:t>
      </w:r>
    </w:p>
    <w:p>
      <w:pPr>
        <w:numPr>
          <w:ilvl w:val="0"/>
          <w:numId w:val="1018"/>
        </w:numPr>
      </w:pPr>
      <w:r>
        <w:t xml:space="preserve">Capa de SaaS modernos genéricos. AgendaPro, Gendu, Turnito, Doctoralia,</w:t>
      </w:r>
      <w:r>
        <w:t xml:space="preserve"> </w:t>
      </w:r>
      <w:r>
        <w:t xml:space="preserve">Nubimed: orientados a agenda y recordatorios automáticos, con incorporación</w:t>
      </w:r>
      <w:r>
        <w:t xml:space="preserve"> </w:t>
      </w:r>
      <w:r>
        <w:t xml:space="preserve">reciente de IA para tareas administrativas (transcripción de consultas y</w:t>
      </w:r>
      <w:r>
        <w:t xml:space="preserve"> </w:t>
      </w:r>
      <w:r>
        <w:t xml:space="preserve">asistentes telefónicos en Nubimed; IA clínica supervisada orientada a</w:t>
      </w:r>
      <w:r>
        <w:t xml:space="preserve"> </w:t>
      </w:r>
      <w:r>
        <w:t xml:space="preserve">hospitales en SFS).</w:t>
      </w:r>
    </w:p>
    <w:p>
      <w:pPr>
        <w:numPr>
          <w:ilvl w:val="0"/>
          <w:numId w:val="1018"/>
        </w:numPr>
      </w:pPr>
      <w:r>
        <w:t xml:space="preserve">Capa de inteligencia operacional especializada. Geblix (Argentina, con</w:t>
      </w:r>
      <w:r>
        <w:t xml:space="preserve"> </w:t>
      </w:r>
      <w:r>
        <w:t xml:space="preserve">expansión a Uruguay, Chile, Perú y México): producto comercial con seis</w:t>
      </w:r>
      <w:r>
        <w:t xml:space="preserve"> </w:t>
      </w:r>
      <w:r>
        <w:t xml:space="preserve">módulos integrados —agenda online, recordatorios por WhatsApp, historia</w:t>
      </w:r>
      <w:r>
        <w:t xml:space="preserve"> </w:t>
      </w:r>
      <w:r>
        <w:t xml:space="preserve">clínica digital, videoconsultas, gestión financiera y operaciones—, que</w:t>
      </w:r>
      <w:r>
        <w:t xml:space="preserve"> </w:t>
      </w:r>
      <w:r>
        <w:t xml:space="preserve">incluye predicción de ausentismo por machine learning con reducción</w:t>
      </w:r>
      <w:r>
        <w:t xml:space="preserve"> </w:t>
      </w:r>
      <w:r>
        <w:t xml:space="preserve">reportada de hasta el 40 % (Geblix, 2024). Es el competidor regional más</w:t>
      </w:r>
      <w:r>
        <w:t xml:space="preserve"> </w:t>
      </w:r>
      <w:r>
        <w:t xml:space="preserve">cercano a la propuesta de inteligencia operacional de Kuris, aunque no</w:t>
      </w:r>
      <w:r>
        <w:t xml:space="preserve"> </w:t>
      </w:r>
      <w:r>
        <w:t xml:space="preserve">implementa FHIR R4 ni se especializa en el segmento argentino de 1 a 5</w:t>
      </w:r>
      <w:r>
        <w:t xml:space="preserve"> </w:t>
      </w:r>
      <w:r>
        <w:t xml:space="preserve">profesionales ni en el marco regulatorio de obras sociales locales.</w:t>
      </w:r>
    </w:p>
    <w:p>
      <w:pPr>
        <w:pStyle w:val="FirstParagraph"/>
      </w:pPr>
      <w:r>
        <w:t xml:space="preserve">El análisis competitivo incluye también soluciones internacionales y de</w:t>
      </w:r>
      <w:r>
        <w:t xml:space="preserve"> </w:t>
      </w:r>
      <w:r>
        <w:t xml:space="preserve">infraestructura abierta con presencia, accesibilidad o relevancia técnica para</w:t>
      </w:r>
      <w:r>
        <w:t xml:space="preserve"> </w:t>
      </w:r>
      <w:r>
        <w:t xml:space="preserve">el mercado argentino:</w:t>
      </w:r>
    </w:p>
    <w:p>
      <w:pPr>
        <w:numPr>
          <w:ilvl w:val="0"/>
          <w:numId w:val="1019"/>
        </w:numPr>
      </w:pPr>
      <w:r>
        <w:t xml:space="preserve">Medesk (Reino Unido / España): plataforma SaaS de gestión clínica con</w:t>
      </w:r>
      <w:r>
        <w:t xml:space="preserve"> </w:t>
      </w:r>
      <w:r>
        <w:t xml:space="preserve">historia electrónica, agenda y recordatorios automáticos; presencia activa en</w:t>
      </w:r>
      <w:r>
        <w:t xml:space="preserve"> </w:t>
      </w:r>
      <w:r>
        <w:t xml:space="preserve">Argentina con precios en el rango USD 10–25/mes (Medesk, 2024). No implementa</w:t>
      </w:r>
      <w:r>
        <w:t xml:space="preserve"> </w:t>
      </w:r>
      <w:r>
        <w:t xml:space="preserve">FHIR R4 de forma nativa ni predicción de ausentismo. Opera en español y es el</w:t>
      </w:r>
      <w:r>
        <w:t xml:space="preserve"> </w:t>
      </w:r>
      <w:r>
        <w:t xml:space="preserve">competidor internacional más accesible para el segmento.</w:t>
      </w:r>
    </w:p>
    <w:p>
      <w:pPr>
        <w:numPr>
          <w:ilvl w:val="0"/>
          <w:numId w:val="1019"/>
        </w:numPr>
      </w:pPr>
      <w:r>
        <w:t xml:space="preserve">Elation Health (Estados Unidos): plataforma EHR para práctica independiente</w:t>
      </w:r>
      <w:r>
        <w:t xml:space="preserve"> </w:t>
      </w:r>
      <w:r>
        <w:t xml:space="preserve">con API FHIR R4 certificada bajo el criterio ONC (g)(10) —incluyendo SMART on</w:t>
      </w:r>
      <w:r>
        <w:t xml:space="preserve"> </w:t>
      </w:r>
      <w:r>
        <w:t xml:space="preserve">FHIR, US Core Data v2 y Bulk Data Export 2.0— (Elation Health, 2024); es</w:t>
      </w:r>
      <w:r>
        <w:t xml:space="preserve"> </w:t>
      </w:r>
      <w:r>
        <w:t xml:space="preserve">decir, una implementación FHIR R4 más completa y certificada que la que Kuris</w:t>
      </w:r>
      <w:r>
        <w:t xml:space="preserve"> </w:t>
      </w:r>
      <w:r>
        <w:t xml:space="preserve">puede demostrar en su etapa actual. No está disponible comercialmente en</w:t>
      </w:r>
      <w:r>
        <w:t xml:space="preserve"> </w:t>
      </w:r>
      <w:r>
        <w:t xml:space="preserve">Argentina y sus precios (&gt;USD 300/mes por profesional) la excluyen del</w:t>
      </w:r>
      <w:r>
        <w:t xml:space="preserve"> </w:t>
      </w:r>
      <w:r>
        <w:t xml:space="preserve">segmento objetivo de Kuris, pero su existencia refuta la idea de que no haya</w:t>
      </w:r>
      <w:r>
        <w:t xml:space="preserve"> </w:t>
      </w:r>
      <w:r>
        <w:t xml:space="preserve">EHRs con FHIR R4 nativo en el mercado internacional.</w:t>
      </w:r>
    </w:p>
    <w:p>
      <w:pPr>
        <w:numPr>
          <w:ilvl w:val="0"/>
          <w:numId w:val="1019"/>
        </w:numPr>
      </w:pPr>
      <w:r>
        <w:t xml:space="preserve">Kareo / Tebra (Estados Unidos): suite para clínicas pequeñas con módulos de</w:t>
      </w:r>
      <w:r>
        <w:t xml:space="preserve"> </w:t>
      </w:r>
      <w:r>
        <w:t xml:space="preserve">facturación, agenda y telemedicina; opera principalmente sobre una API SOAP</w:t>
      </w:r>
      <w:r>
        <w:t xml:space="preserve"> </w:t>
      </w:r>
      <w:r>
        <w:t xml:space="preserve">propia y se encuentra en transición hacia FHIR, sin que esta migración esté</w:t>
      </w:r>
      <w:r>
        <w:t xml:space="preserve"> </w:t>
      </w:r>
      <w:r>
        <w:t xml:space="preserve">completa a la fecha (Kareo/Tebra, 2024); sin predicción de ausentismo; no</w:t>
      </w:r>
      <w:r>
        <w:t xml:space="preserve"> </w:t>
      </w:r>
      <w:r>
        <w:t xml:space="preserve">disponible en Argentina.</w:t>
      </w:r>
    </w:p>
    <w:p>
      <w:pPr>
        <w:numPr>
          <w:ilvl w:val="0"/>
          <w:numId w:val="1019"/>
        </w:numPr>
      </w:pPr>
      <w:r>
        <w:t xml:space="preserve">Medplum (Estados Unidos, open source): plataforma de desarrollo de software</w:t>
      </w:r>
      <w:r>
        <w:t xml:space="preserve"> </w:t>
      </w:r>
      <w:r>
        <w:t xml:space="preserve">de salud FHIR-native, con servidor FHIR R4 sobre PostgreSQL, soporte</w:t>
      </w:r>
      <w:r>
        <w:t xml:space="preserve"> </w:t>
      </w:r>
      <w:r>
        <w:t xml:space="preserve">multitenant, control de acceso basado en roles y ACLs por registro, bajo</w:t>
      </w:r>
      <w:r>
        <w:t xml:space="preserve"> </w:t>
      </w:r>
      <w:r>
        <w:t xml:space="preserve">licencia Apache 2.0 (Medplum, 2025). No es un producto terminado para</w:t>
      </w:r>
      <w:r>
        <w:t xml:space="preserve"> </w:t>
      </w:r>
      <w:r>
        <w:t xml:space="preserve">clínicas sino un framework de desarrollo; su existencia muestra que ya hay</w:t>
      </w:r>
      <w:r>
        <w:t xml:space="preserve"> </w:t>
      </w:r>
      <w:r>
        <w:t xml:space="preserve">infraestructura FHIR R4 nativa reutilizable y de bajo costo disponible para</w:t>
      </w:r>
      <w:r>
        <w:t xml:space="preserve"> </w:t>
      </w:r>
      <w:r>
        <w:t xml:space="preserve">construir EHRs, lo que reduce —aunque no elimina— la barrera de entrada</w:t>
      </w:r>
      <w:r>
        <w:t xml:space="preserve"> </w:t>
      </w:r>
      <w:r>
        <w:t xml:space="preserve">técnica que el documento atribuye en exclusiva al esfuerzo de Kuris.</w:t>
      </w:r>
    </w:p>
    <w:p>
      <w:pPr>
        <w:numPr>
          <w:ilvl w:val="0"/>
          <w:numId w:val="1019"/>
        </w:numPr>
      </w:pPr>
      <w:r>
        <w:t xml:space="preserve">HAPI FHIR (open source): servidor FHIR de referencia en Java, recomendado</w:t>
      </w:r>
      <w:r>
        <w:t xml:space="preserve"> </w:t>
      </w:r>
      <w:r>
        <w:t xml:space="preserve">explícitamente por el Banco Interamericano de Desarrollo (BID) como</w:t>
      </w:r>
      <w:r>
        <w:t xml:space="preserve"> </w:t>
      </w:r>
      <w:r>
        <w:t xml:space="preserve">herramienta para instituciones de salud en América Latina y el Caribe</w:t>
      </w:r>
      <w:r>
        <w:t xml:space="preserve"> </w:t>
      </w:r>
      <w:r>
        <w:t xml:space="preserve">(Inter-American Development Bank, s. f.). Confirma que existe ecosistema FHIR</w:t>
      </w:r>
      <w:r>
        <w:t xml:space="preserve"> </w:t>
      </w:r>
      <w:r>
        <w:t xml:space="preserve">abierto y de respaldo institucional en la región, no solo en mercados</w:t>
      </w:r>
      <w:r>
        <w:t xml:space="preserve"> </w:t>
      </w:r>
      <w:r>
        <w:t xml:space="preserve">desarrollados.</w:t>
      </w:r>
    </w:p>
    <w:p>
      <w:pPr>
        <w:pStyle w:val="FirstParagraph"/>
      </w:pPr>
      <w:r>
        <w:t xml:space="preserve">En el relevamiento sobre el segmento específico de clínicas de 1 a 5</w:t>
      </w:r>
      <w:r>
        <w:t xml:space="preserve"> </w:t>
      </w:r>
      <w:r>
        <w:t xml:space="preserve">profesionales en Argentina —considerando tanto el mercado local como las</w:t>
      </w:r>
      <w:r>
        <w:t xml:space="preserve"> </w:t>
      </w:r>
      <w:r>
        <w:t xml:space="preserve">opciones internacionales y de infraestructura abierta relevadas— no se</w:t>
      </w:r>
      <w:r>
        <w:t xml:space="preserve"> </w:t>
      </w:r>
      <w:r>
        <w:t xml:space="preserve">identificó ningún competidor que combine, de manera nativa e integrada al</w:t>
      </w:r>
      <w:r>
        <w:t xml:space="preserve"> </w:t>
      </w:r>
      <w:r>
        <w:t xml:space="preserve">flujo operativo y en un rango de precio accesible para ese segmento: (a)</w:t>
      </w:r>
      <w:r>
        <w:t xml:space="preserve"> </w:t>
      </w:r>
      <w:r>
        <w:t xml:space="preserve">implementación del estándar HL7 FHIR R4, (b) predicción explicable del</w:t>
      </w:r>
      <w:r>
        <w:t xml:space="preserve"> </w:t>
      </w:r>
      <w:r>
        <w:t xml:space="preserve">ausentismo por paciente con factores interpretables, y (c) inteligencia</w:t>
      </w:r>
      <w:r>
        <w:t xml:space="preserve"> </w:t>
      </w:r>
      <w:r>
        <w:t xml:space="preserve">operacional accionable (recordatorios diferenciados + overbooking). Esta</w:t>
      </w:r>
      <w:r>
        <w:t xml:space="preserve"> </w:t>
      </w:r>
      <w:r>
        <w:t xml:space="preserve">afirmación es más acotada que sostener una ausencia general de FHIR R4 o de</w:t>
      </w:r>
      <w:r>
        <w:t xml:space="preserve"> </w:t>
      </w:r>
      <w:r>
        <w:t xml:space="preserve">predicción de ausentismo en el mercado: ambas existen como categorías de</w:t>
      </w:r>
      <w:r>
        <w:t xml:space="preserve"> </w:t>
      </w:r>
      <w:r>
        <w:t xml:space="preserve">producto maduras a nivel internacional (Medplum, Elation Health, HAPI FHIR;</w:t>
      </w:r>
      <w:r>
        <w:t xml:space="preserve"> </w:t>
      </w:r>
      <w:r>
        <w:t xml:space="preserve">healow/eClinicalWorks, ClosedLoop, Arkangel AI) y regional (Geblix). La</w:t>
      </w:r>
      <w:r>
        <w:t xml:space="preserve"> </w:t>
      </w:r>
      <w:r>
        <w:t xml:space="preserve">ventaja diferencial de Kuris reside en la combinación específica de los tres</w:t>
      </w:r>
      <w:r>
        <w:t xml:space="preserve"> </w:t>
      </w:r>
      <w:r>
        <w:t xml:space="preserve">elementos para el nicho argentino, no en la novedad aislada de ninguno de</w:t>
      </w:r>
      <w:r>
        <w:t xml:space="preserve"> </w:t>
      </w:r>
      <w:r>
        <w:t xml:space="preserve">ellos; frente a soluciones internacionales de mayor escala y frente a Geblix,</w:t>
      </w:r>
      <w:r>
        <w:t xml:space="preserve"> </w:t>
      </w:r>
      <w:r>
        <w:t xml:space="preserve">la diferenciación adicional reside en la especialización en el contexto</w:t>
      </w:r>
      <w:r>
        <w:t xml:space="preserve"> </w:t>
      </w:r>
      <w:r>
        <w:t xml:space="preserve">regulatorio argentino (Ley 27.706, obras sociales) y en el soporte</w:t>
      </w:r>
      <w:r>
        <w:t xml:space="preserve"> </w:t>
      </w:r>
      <w:r>
        <w:t xml:space="preserve">personalizado del fundador.</w:t>
      </w:r>
    </w:p>
    <w:p>
      <w:pPr>
        <w:pStyle w:val="BodyText"/>
      </w:pPr>
      <w:r>
        <w:t xml:space="preserve">2.2.2 Análisis de cadena de valor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Eslabón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lo resuelve Kuris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de 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técnica integral del fundador (backend, frontend, infra, modelos)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Iteración rápida con costo estructural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propio + Docker/PostgreSQL/Redis ya desplegado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marginal por cliente bajo; escalabilidad sin inversión proporcional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Adquisición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 directa + referidos en el ecosistema médico de Rosario (hipótesis de canal, sin referidos activos en esta etapa)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proyectado de bajo costo (hipótesis a validar con el piloto)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 guiada + capacitación + soporte directo del fundador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fricción de adopción; diferencial relacional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 /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personalizado en fase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Retención; costo variable a gestionar al escalar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Demostración de 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mensual de ausentismo y eficiencia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 la recurrencia con impacto medible</w:t>
            </w:r>
          </w:p>
        </w:tc>
      </w:tr>
    </w:tbl>
    <w:p>
      <w:pPr>
        <w:pStyle w:val="BodyText"/>
      </w:pPr>
      <w:r>
        <w:t xml:space="preserve">Las actividades de soporte (infraestructura, conocimiento técnico, cumplimiento</w:t>
      </w:r>
      <w:r>
        <w:t xml:space="preserve"> </w:t>
      </w:r>
      <w:r>
        <w:t xml:space="preserve">normativo) habilitan las actividades primarias y constituyen las barreras de</w:t>
      </w:r>
      <w:r>
        <w:t xml:space="preserve"> </w:t>
      </w:r>
      <w:r>
        <w:t xml:space="preserve">imitación más relevantes del modelo.</w:t>
      </w:r>
    </w:p>
    <w:p>
      <w:pPr>
        <w:pStyle w:val="BodyText"/>
      </w:pPr>
      <w:r>
        <w:t xml:space="preserve">Comparación con la competencia por eslabón: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Eslabón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Incumbentes 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modernos (AgendaPro, Nubimed)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Equipos consolidados con base instalada y deuda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Equipos mayores, ciclos más lentos por generalismo de mercado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On-premise o cloud legacy; costos de migración altos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moderno; costos más altos por escala y funcionalidades ociosas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Adquisición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de ventas directa y red de referidos establecida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digital + freemium; sin canal de nicho especializado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estandarizado sin acompañamiento diferenciado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Autoservicio; bajo costo pero sin personalización por clínica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 /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multicanal pero impersonal a escala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por ticket; sin contacto directo con el equipo de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Demostración de 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reportes de impacto sobre ausentismo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de agenda; sin análisis predictivo de ausentismo</w:t>
            </w:r>
          </w:p>
        </w:tc>
      </w:tr>
    </w:tbl>
    <w:p>
      <w:pPr>
        <w:pStyle w:val="BodyText"/>
      </w:pPr>
      <w:r>
        <w:t xml:space="preserve">La ventaja de Kuris se concentra en los eslabones de onboarding,</w:t>
      </w:r>
      <w:r>
        <w:t xml:space="preserve"> </w:t>
      </w:r>
      <w:r>
        <w:t xml:space="preserve">demostración de valor y desarrollo de producto, donde la especialización</w:t>
      </w:r>
      <w:r>
        <w:t xml:space="preserve"> </w:t>
      </w:r>
      <w:r>
        <w:t xml:space="preserve">en el nicho y la capacidad de ejecución técnica integral del fundador</w:t>
      </w:r>
      <w:r>
        <w:t xml:space="preserve"> </w:t>
      </w:r>
      <w:r>
        <w:t xml:space="preserve">generan un diferencial no replicable por los competidores de mayor escala</w:t>
      </w:r>
      <w:r>
        <w:t xml:space="preserve"> </w:t>
      </w:r>
      <w:r>
        <w:t xml:space="preserve">sin una reestructura significativa de su modelo operativo.</w:t>
      </w:r>
    </w:p>
    <w:p>
      <w:pPr>
        <w:pStyle w:val="BodyText"/>
      </w:pPr>
      <w:r>
        <w:t xml:space="preserve">2.2.3 Factores Críticos de Éxito (FCE)</w:t>
      </w:r>
    </w:p>
    <w:p>
      <w:pPr>
        <w:numPr>
          <w:ilvl w:val="0"/>
          <w:numId w:val="1020"/>
        </w:numPr>
        <w:pStyle w:val="Compact"/>
      </w:pPr>
      <w:r>
        <w:t xml:space="preserve">Lograr y sostener la diferenciación técnica (FHIR + predicción + inteligencia</w:t>
      </w:r>
      <w:r>
        <w:t xml:space="preserve"> </w:t>
      </w:r>
      <w:r>
        <w:t xml:space="preserve">operacional) integrada al flujo operativo.</w:t>
      </w:r>
    </w:p>
    <w:p>
      <w:pPr>
        <w:numPr>
          <w:ilvl w:val="0"/>
          <w:numId w:val="1020"/>
        </w:numPr>
        <w:pStyle w:val="Compact"/>
      </w:pPr>
      <w:r>
        <w:t xml:space="preserve">Validar el impacto sobre el ausentismo con datos reales de al menos un piloto.</w:t>
      </w:r>
    </w:p>
    <w:p>
      <w:pPr>
        <w:numPr>
          <w:ilvl w:val="0"/>
          <w:numId w:val="1020"/>
        </w:numPr>
        <w:pStyle w:val="Compact"/>
      </w:pPr>
      <w:r>
        <w:t xml:space="preserve">Mantener un costo de onboarding y soporte controlado para que el modelo</w:t>
      </w:r>
      <w:r>
        <w:t xml:space="preserve"> </w:t>
      </w:r>
      <w:r>
        <w:t xml:space="preserve">escale.</w:t>
      </w:r>
    </w:p>
    <w:p>
      <w:pPr>
        <w:numPr>
          <w:ilvl w:val="0"/>
          <w:numId w:val="1020"/>
        </w:numPr>
        <w:pStyle w:val="Compact"/>
      </w:pPr>
      <w:r>
        <w:t xml:space="preserve">Construir un canal de referidos confiable dentro del ecosistema médico local.</w:t>
      </w:r>
    </w:p>
    <w:p>
      <w:pPr>
        <w:numPr>
          <w:ilvl w:val="0"/>
          <w:numId w:val="1020"/>
        </w:numPr>
        <w:pStyle w:val="Compact"/>
      </w:pPr>
      <w:r>
        <w:t xml:space="preserve">Garantizar seguridad y cumplimiento normativo de los datos de salud.</w:t>
      </w:r>
    </w:p>
    <w:p>
      <w:pPr>
        <w:numPr>
          <w:ilvl w:val="0"/>
          <w:numId w:val="1020"/>
        </w:numPr>
        <w:pStyle w:val="Compact"/>
      </w:pPr>
      <w:r>
        <w:t xml:space="preserve">Alcanzar el punto de equilibrio sin financiamiento externo.</w:t>
      </w:r>
    </w:p>
    <w:p>
      <w:pPr>
        <w:pStyle w:val="FirstParagraph"/>
      </w:pPr>
      <w:r>
        <w:t xml:space="preserve">2.2.4 Fortalezas y debilidades del negocio</w:t>
      </w:r>
    </w:p>
    <w:p>
      <w:pPr>
        <w:pStyle w:val="BodyText"/>
      </w:pPr>
      <w:r>
        <w:t xml:space="preserve">Fortalezas: diferenciación técnica única en el segmento; interoperabilidad nativa</w:t>
      </w:r>
      <w:r>
        <w:t xml:space="preserve"> </w:t>
      </w:r>
      <w:r>
        <w:t xml:space="preserve">como barrera de entrada; estructura de costos liviana y bajo punto de equilibrio;</w:t>
      </w:r>
      <w:r>
        <w:t xml:space="preserve"> </w:t>
      </w:r>
      <w:r>
        <w:t xml:space="preserve">conocimiento técnico especializado del fundador; capacidad de soporte cercano.</w:t>
      </w:r>
    </w:p>
    <w:p>
      <w:pPr>
        <w:pStyle w:val="BodyText"/>
      </w:pPr>
      <w:r>
        <w:t xml:space="preserve">Debilidades: equipo unipersonal con capacidad de ejecución acotada y riesgo de</w:t>
      </w:r>
      <w:r>
        <w:t xml:space="preserve"> </w:t>
      </w:r>
      <w:r>
        <w:t xml:space="preserve">cuello de botella; ausencia de base instalada, marca y casos de referencia;</w:t>
      </w:r>
      <w:r>
        <w:t xml:space="preserve"> </w:t>
      </w:r>
      <w:r>
        <w:t xml:space="preserve">recursos comerciales y de marketing limitados; dependencia crítica de una sola</w:t>
      </w:r>
      <w:r>
        <w:t xml:space="preserve"> </w:t>
      </w:r>
      <w:r>
        <w:t xml:space="preserve">persona; aún sin validación comercial real.</w:t>
      </w:r>
    </w:p>
    <w:bookmarkEnd w:id="36"/>
    <w:bookmarkEnd w:id="37"/>
    <w:bookmarkStart w:id="41" w:name="análisis-foda"/>
    <w:p>
      <w:pPr>
        <w:pStyle w:val="Heading1"/>
      </w:pPr>
      <w:r>
        <w:t xml:space="preserve">3. ANÁLISIS FODA</w:t>
      </w:r>
    </w:p>
    <w:bookmarkStart w:id="38" w:name="cuadro-foda"/>
    <w:p>
      <w:pPr>
        <w:pStyle w:val="Heading2"/>
      </w:pPr>
      <w:r>
        <w:t xml:space="preserve">3.1 Cuadro FODA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Origen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FORTALEZAS</w:t>
            </w:r>
            <w:r>
              <w:t xml:space="preserve">• Diferenciación técnica única (FHIR R4 + predicción explicable + inteligencia operacional)</w:t>
            </w:r>
            <w:r>
              <w:t xml:space="preserve">• Interoperabilidad nativa como barrera de entrada</w:t>
            </w:r>
            <w:r>
              <w:t xml:space="preserve">• Estructura de costos liviana; punto de equilibrio bajo (12–18 clínicas)</w:t>
            </w:r>
            <w:r>
              <w:t xml:space="preserve">• Conocimiento técnico especializado del fundador</w:t>
            </w:r>
            <w:r>
              <w:t xml:space="preserve">• Soporte personalizado como diferencial relacional</w:t>
            </w:r>
            <w:r>
              <w:t xml:space="preserve">• Infraestructura propia ya operativa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OPORTUNIDADES</w:t>
            </w:r>
            <w:r>
              <w:t xml:space="preserve">• Segmento amplio y desatendido (≈ 5.000 establecimientos)</w:t>
            </w:r>
            <w:r>
              <w:t xml:space="preserve">• Ausentismo cuantificado (≈ 30 % regional) sin solución adoptada en AR</w:t>
            </w:r>
            <w:r>
              <w:t xml:space="preserve">• Mercado de salud digital en expansión (CAGR 9,5 %)</w:t>
            </w:r>
            <w:r>
              <w:t xml:space="preserve">• Tendencia sectorial a interoperabilidad e IA</w:t>
            </w:r>
            <w:r>
              <w:t xml:space="preserve">• Marco normativo y estrategia nacional de salud digital que favorece FHIR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DEBILIDADES</w:t>
            </w:r>
            <w:r>
              <w:t xml:space="preserve">• Equipo unipersonal; capacidad de ejecución acotada</w:t>
            </w:r>
            <w:r>
              <w:t xml:space="preserve">• Sin base instalada, marca ni casos de referencia</w:t>
            </w:r>
            <w:r>
              <w:t xml:space="preserve">• Recursos comerciales y de marketing limitados</w:t>
            </w:r>
            <w:r>
              <w:t xml:space="preserve">• Dependencia crítica de una sola persona</w:t>
            </w:r>
            <w:r>
              <w:t xml:space="preserve">• Sin validación comercial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AMENAZAS</w:t>
            </w:r>
            <w:r>
              <w:t xml:space="preserve">• Incumbentes locales con base instalada y relación establecida</w:t>
            </w:r>
            <w:r>
              <w:t xml:space="preserve">• Posible incorporación de IA predictiva por competidores con más recursos</w:t>
            </w:r>
            <w:r>
              <w:t xml:space="preserve">• Sensibilidad al precio en dólares (ingresos de clientes en pesos)</w:t>
            </w:r>
            <w:r>
              <w:t xml:space="preserve">• Volatilidad macroeconómica argentina</w:t>
            </w:r>
            <w:r>
              <w:t xml:space="preserve">• Resistencia al cambio en clínicas con herramientas heredadas</w:t>
            </w:r>
          </w:p>
        </w:tc>
      </w:tr>
    </w:tbl>
    <w:bookmarkEnd w:id="38"/>
    <w:bookmarkStart w:id="39" w:name="X0b3083f37d837c38809af9b5eb948d52ab03cdc"/>
    <w:p>
      <w:pPr>
        <w:pStyle w:val="Heading2"/>
      </w:pPr>
      <w:r>
        <w:t xml:space="preserve">3.2 Análisis de Fortalezas, Oportunidades, Debilidades y Amenazas</w:t>
      </w:r>
    </w:p>
    <w:p>
      <w:pPr>
        <w:pStyle w:val="FirstParagraph"/>
      </w:pPr>
      <w:r>
        <w:t xml:space="preserve">El cruce de factores orienta las estrategias del proyecto:</w:t>
      </w:r>
    </w:p>
    <w:p>
      <w:pPr>
        <w:pStyle w:val="BodyText"/>
      </w:pPr>
      <w:r>
        <w:t xml:space="preserve">Estrategias FO (fortalezas + oportunidades) — ofensivas. Apalancar la</w:t>
      </w:r>
      <w:r>
        <w:t xml:space="preserve"> </w:t>
      </w:r>
      <w:r>
        <w:t xml:space="preserve">diferenciación técnica única sobre un segmento amplio y desatendido, posicionando</w:t>
      </w:r>
      <w:r>
        <w:t xml:space="preserve"> </w:t>
      </w:r>
      <w:r>
        <w:t xml:space="preserve">la interoperabilidad y la predicción de ausentismo como respuesta directa a un</w:t>
      </w:r>
      <w:r>
        <w:t xml:space="preserve"> </w:t>
      </w:r>
      <w:r>
        <w:t xml:space="preserve">dolor cuantificado que la oferta actual no resuelve.</w:t>
      </w:r>
    </w:p>
    <w:p>
      <w:pPr>
        <w:pStyle w:val="BodyText"/>
      </w:pPr>
      <w:r>
        <w:t xml:space="preserve">Estrategias FA (fortalezas + amenazas) — defensivas. Frente a la base instalada</w:t>
      </w:r>
      <w:r>
        <w:t xml:space="preserve"> </w:t>
      </w:r>
      <w:r>
        <w:t xml:space="preserve">de los incumbentes y a la eventual reacción de competidores con más recursos,</w:t>
      </w:r>
      <w:r>
        <w:t xml:space="preserve"> </w:t>
      </w:r>
      <w:r>
        <w:t xml:space="preserve">usar la barrera técnica (FHIR nativo, especialización) y el soporte cercano para</w:t>
      </w:r>
      <w:r>
        <w:t xml:space="preserve"> </w:t>
      </w:r>
      <w:r>
        <w:t xml:space="preserve">construir relaciones difíciles de desplazar; fijar el precio en dólares para</w:t>
      </w:r>
      <w:r>
        <w:t xml:space="preserve"> </w:t>
      </w:r>
      <w:r>
        <w:t xml:space="preserve">protegerse de la volatilidad sin perder accesibilidad.</w:t>
      </w:r>
    </w:p>
    <w:p>
      <w:pPr>
        <w:pStyle w:val="BodyText"/>
      </w:pPr>
      <w:r>
        <w:t xml:space="preserve">Estrategias DO (debilidades + oportunidades) — de reorientación. Compensar la</w:t>
      </w:r>
      <w:r>
        <w:t xml:space="preserve"> </w:t>
      </w:r>
      <w:r>
        <w:t xml:space="preserve">falta de base instalada y de recursos comerciales mediante el piloto gratuito y</w:t>
      </w:r>
      <w:r>
        <w:t xml:space="preserve"> </w:t>
      </w:r>
      <w:r>
        <w:t xml:space="preserve">los referidos profesionales como canal de bajo costo, convirtiendo casos de</w:t>
      </w:r>
      <w:r>
        <w:t xml:space="preserve"> </w:t>
      </w:r>
      <w:r>
        <w:t xml:space="preserve">impacto medible en la palanca de credibilidad que sustituye a la marca.</w:t>
      </w:r>
    </w:p>
    <w:p>
      <w:pPr>
        <w:pStyle w:val="BodyText"/>
      </w:pPr>
      <w:r>
        <w:t xml:space="preserve">Estrategias DA (debilidades + amenazas) — de supervivencia. Mitigar el riesgo</w:t>
      </w:r>
      <w:r>
        <w:t xml:space="preserve"> </w:t>
      </w:r>
      <w:r>
        <w:t xml:space="preserve">del equipo unipersonal con una estructura de costos liviana que permita sostener</w:t>
      </w:r>
      <w:r>
        <w:t xml:space="preserve"> </w:t>
      </w:r>
      <w:r>
        <w:t xml:space="preserve">el proyecto sin presión financiera, y con un alcance de MVP recortado y</w:t>
      </w:r>
      <w:r>
        <w:t xml:space="preserve"> </w:t>
      </w:r>
      <w:r>
        <w:t xml:space="preserve">priorizado que concentre el esfuerzo en lo diferencial y no negociable</w:t>
      </w:r>
      <w:r>
        <w:t xml:space="preserve"> </w:t>
      </w:r>
      <w:r>
        <w:t xml:space="preserve">(multitenant y FHIR core).</w:t>
      </w:r>
    </w:p>
    <w:bookmarkEnd w:id="39"/>
    <w:bookmarkStart w:id="40" w:name="X3fa272b152d94e58ae7a64701fad311a792f207"/>
    <w:p>
      <w:pPr>
        <w:pStyle w:val="Heading2"/>
      </w:pPr>
      <w:r>
        <w:t xml:space="preserve">3.3 Conclusión: atractivo de la industria y fortalezas del negocio</w:t>
      </w:r>
    </w:p>
    <w:p>
      <w:pPr>
        <w:pStyle w:val="FirstParagraph"/>
      </w:pPr>
      <w:r>
        <w:t xml:space="preserve">La industria del software de gestión clínica para el segmento pequeño es</w:t>
      </w:r>
      <w:r>
        <w:t xml:space="preserve"> </w:t>
      </w:r>
      <w:r>
        <w:t xml:space="preserve">atractiva: mercado amplio y en crecimiento, problema costoso y cuantificado, y</w:t>
      </w:r>
      <w:r>
        <w:t xml:space="preserve"> </w:t>
      </w:r>
      <w:r>
        <w:t xml:space="preserve">una oferta existente sin diferenciación tecnológica en el nicho. Las fortalezas</w:t>
      </w:r>
      <w:r>
        <w:t xml:space="preserve"> </w:t>
      </w:r>
      <w:r>
        <w:t xml:space="preserve">del negocio —diferenciación técnica única, interoperabilidad como barrera de</w:t>
      </w:r>
      <w:r>
        <w:t xml:space="preserve"> </w:t>
      </w:r>
      <w:r>
        <w:t xml:space="preserve">entrada y estructura de costos liviana— están alineadas con las oportunidades del</w:t>
      </w:r>
      <w:r>
        <w:t xml:space="preserve"> </w:t>
      </w:r>
      <w:r>
        <w:t xml:space="preserve">sector.</w:t>
      </w:r>
    </w:p>
    <w:p>
      <w:pPr>
        <w:pStyle w:val="BodyText"/>
      </w:pPr>
      <w:r>
        <w:t xml:space="preserve">Sin embargo, la viabilidad comercial del proyecto aún no está demostrada: a la</w:t>
      </w:r>
      <w:r>
        <w:t xml:space="preserve"> </w:t>
      </w:r>
      <w:r>
        <w:t xml:space="preserve">fecha del presente documento no existe ningún cliente activo ni validación</w:t>
      </w:r>
      <w:r>
        <w:t xml:space="preserve"> </w:t>
      </w:r>
      <w:r>
        <w:t xml:space="preserve">primaria de las hipótesis de precio y adopción. Los dos riesgos que condicionan</w:t>
      </w:r>
      <w:r>
        <w:t xml:space="preserve"> </w:t>
      </w:r>
      <w:r>
        <w:t xml:space="preserve">la viabilidad real son: (a) que las clínicas objetivo no perciban el dolor del</w:t>
      </w:r>
      <w:r>
        <w:t xml:space="preserve"> </w:t>
      </w:r>
      <w:r>
        <w:t xml:space="preserve">ausentismo como suficientemente costoso para justificar el cambio de herramientas,</w:t>
      </w:r>
      <w:r>
        <w:t xml:space="preserve"> </w:t>
      </w:r>
      <w:r>
        <w:t xml:space="preserve">y (b) que el precio en dólares sea una barrera de adopción en un contexto de</w:t>
      </w:r>
      <w:r>
        <w:t xml:space="preserve"> </w:t>
      </w:r>
      <w:r>
        <w:t xml:space="preserve">ingresos en pesos con alta volatilidad cambiaria. Ambos riesgos son detectables</w:t>
      </w:r>
      <w:r>
        <w:t xml:space="preserve"> </w:t>
      </w:r>
      <w:r>
        <w:t xml:space="preserve">temprano si se logra concretar un piloto real: el cronograma de agosto a</w:t>
      </w:r>
      <w:r>
        <w:t xml:space="preserve"> </w:t>
      </w:r>
      <w:r>
        <w:t xml:space="preserve">noviembre de 2026 (sección 5.2) plantea ese piloto como objetivo, pero a la</w:t>
      </w:r>
      <w:r>
        <w:t xml:space="preserve"> </w:t>
      </w:r>
      <w:r>
        <w:t xml:space="preserve">fecha no hay ninguna clínica comprometida, solo conversaciones exploratorias</w:t>
      </w:r>
      <w:r>
        <w:t xml:space="preserve"> </w:t>
      </w:r>
      <w:r>
        <w:t xml:space="preserve">sin acuerdo. Si el piloto no se concreta en ese plazo, el plan de contingencia</w:t>
      </w:r>
      <w:r>
        <w:t xml:space="preserve"> </w:t>
      </w:r>
      <w:r>
        <w:t xml:space="preserve">académico contempla una validación simulada como alternativa. El desafío</w:t>
      </w:r>
      <w:r>
        <w:t xml:space="preserve"> </w:t>
      </w:r>
      <w:r>
        <w:t xml:space="preserve">central de esta etapa es, por lo tanto, doble: conseguir al menos un piloto</w:t>
      </w:r>
      <w:r>
        <w:t xml:space="preserve"> </w:t>
      </w:r>
      <w:r>
        <w:t xml:space="preserve">real o ejecutar la alternativa simulada con rigor, y convertir la ventaja</w:t>
      </w:r>
      <w:r>
        <w:t xml:space="preserve"> </w:t>
      </w:r>
      <w:r>
        <w:t xml:space="preserve">técnica en evidencia —real o simulada— que demuestre valor medible, sin lo</w:t>
      </w:r>
      <w:r>
        <w:t xml:space="preserve"> </w:t>
      </w:r>
      <w:r>
        <w:t xml:space="preserve">cual la propuesta competitiva permanece enteramente en el terreno de la</w:t>
      </w:r>
      <w:r>
        <w:t xml:space="preserve"> </w:t>
      </w:r>
      <w:r>
        <w:t xml:space="preserve">hipótesis.</w:t>
      </w:r>
    </w:p>
    <w:bookmarkEnd w:id="40"/>
    <w:bookmarkEnd w:id="41"/>
    <w:bookmarkStart w:id="46" w:name="segmentación"/>
    <w:p>
      <w:pPr>
        <w:pStyle w:val="Heading1"/>
      </w:pPr>
      <w:r>
        <w:t xml:space="preserve">4. SEGMENTACIÓN</w:t>
      </w:r>
    </w:p>
    <w:bookmarkStart w:id="42" w:name="segmentación-de-consumidores-yo-negocios"/>
    <w:p>
      <w:pPr>
        <w:pStyle w:val="Heading2"/>
      </w:pPr>
      <w:r>
        <w:t xml:space="preserve">4.1 Segmentación de consumidores y/o negocios</w:t>
      </w:r>
    </w:p>
    <w:p>
      <w:pPr>
        <w:pStyle w:val="FirstParagraph"/>
      </w:pPr>
      <w:r>
        <w:t xml:space="preserve">Al tratarse de un negocio B2B, la unidad de segmentación es la organización</w:t>
      </w:r>
      <w:r>
        <w:t xml:space="preserve"> </w:t>
      </w:r>
      <w:r>
        <w:t xml:space="preserve">cliente (la clínica o el consultorio), no el paciente individual. Los criterios</w:t>
      </w:r>
      <w:r>
        <w:t xml:space="preserve"> </w:t>
      </w:r>
      <w:r>
        <w:t xml:space="preserve">de segmentación aplicados son:</w:t>
      </w:r>
    </w:p>
    <w:p>
      <w:pPr>
        <w:numPr>
          <w:ilvl w:val="0"/>
          <w:numId w:val="1021"/>
        </w:numPr>
        <w:pStyle w:val="Compact"/>
      </w:pPr>
      <w:r>
        <w:t xml:space="preserve">Ubicación geográfica: Rosario y zona de influencia (Santa Fe) en la fase</w:t>
      </w:r>
      <w:r>
        <w:t xml:space="preserve"> </w:t>
      </w:r>
      <w:r>
        <w:t xml:space="preserve">inicial; expansión progresiva al interior del país.</w:t>
      </w:r>
    </w:p>
    <w:p>
      <w:pPr>
        <w:numPr>
          <w:ilvl w:val="0"/>
          <w:numId w:val="1021"/>
        </w:numPr>
        <w:pStyle w:val="Compact"/>
      </w:pPr>
      <w:r>
        <w:t xml:space="preserve">Tamaño del cliente: clínicas y consultorios de 1 a 5 profesionales.</w:t>
      </w:r>
    </w:p>
    <w:p>
      <w:pPr>
        <w:numPr>
          <w:ilvl w:val="0"/>
          <w:numId w:val="1021"/>
        </w:numPr>
        <w:pStyle w:val="Compact"/>
      </w:pPr>
      <w:r>
        <w:t xml:space="preserve">Tipo de cliente: establecimientos de salud privados que operan con herramientas</w:t>
      </w:r>
      <w:r>
        <w:t xml:space="preserve"> </w:t>
      </w:r>
      <w:r>
        <w:t xml:space="preserve">heterogéneas (planillas, papel, sistemas heredados).</w:t>
      </w:r>
    </w:p>
    <w:p>
      <w:pPr>
        <w:numPr>
          <w:ilvl w:val="0"/>
          <w:numId w:val="1021"/>
        </w:numPr>
        <w:pStyle w:val="Compact"/>
      </w:pPr>
      <w:r>
        <w:t xml:space="preserve">Uso del producto / dolor predominante: necesidad de orden operativo, de</w:t>
      </w:r>
      <w:r>
        <w:t xml:space="preserve"> </w:t>
      </w:r>
      <w:r>
        <w:t xml:space="preserve">interoperabilidad futura y/o de reducción de pérdidas por ausentismo.</w:t>
      </w:r>
    </w:p>
    <w:bookmarkEnd w:id="42"/>
    <w:bookmarkStart w:id="43" w:name="Xccee54e01c174beb63a44ef12ac5cc3e447fa71"/>
    <w:p>
      <w:pPr>
        <w:pStyle w:val="Heading2"/>
      </w:pPr>
      <w:r>
        <w:t xml:space="preserve">4.2 Identificación de grupos diferenciados de consumidores</w:t>
      </w:r>
    </w:p>
    <w:p>
      <w:pPr>
        <w:pStyle w:val="FirstParagraph"/>
      </w:pPr>
      <w:r>
        <w:t xml:space="preserve">Dentro del segmento se distinguen tres perfiles:</w:t>
      </w:r>
    </w:p>
    <w:p>
      <w:pPr>
        <w:numPr>
          <w:ilvl w:val="0"/>
          <w:numId w:val="1022"/>
        </w:numPr>
      </w:pPr>
      <w:r>
        <w:t xml:space="preserve">Profesional independiente con consultorio propio. Busca digitalizar su</w:t>
      </w:r>
      <w:r>
        <w:t xml:space="preserve"> </w:t>
      </w:r>
      <w:r>
        <w:t xml:space="preserve">operación sin invertir en infraestructura ni en sistemas sobredimensionados.</w:t>
      </w:r>
      <w:r>
        <w:t xml:space="preserve"> </w:t>
      </w:r>
      <w:r>
        <w:t xml:space="preserve">Sensible al precio y a la simplicidad de uso.</w:t>
      </w:r>
    </w:p>
    <w:p>
      <w:pPr>
        <w:numPr>
          <w:ilvl w:val="0"/>
          <w:numId w:val="1022"/>
        </w:numPr>
      </w:pPr>
      <w:r>
        <w:t xml:space="preserve">Centro médico pequeño (2 a 5 profesionales). Necesita coordinación de agenda,</w:t>
      </w:r>
      <w:r>
        <w:t xml:space="preserve"> </w:t>
      </w:r>
      <w:r>
        <w:t xml:space="preserve">historia clínica unificada e interoperabilidad futura con obras sociales.</w:t>
      </w:r>
      <w:r>
        <w:t xml:space="preserve"> </w:t>
      </w:r>
      <w:r>
        <w:t xml:space="preserve">Valora la integración y la escalabilidad.</w:t>
      </w:r>
    </w:p>
    <w:p>
      <w:pPr>
        <w:numPr>
          <w:ilvl w:val="0"/>
          <w:numId w:val="1022"/>
        </w:numPr>
      </w:pPr>
      <w:r>
        <w:t xml:space="preserve">Clínica con pérdidas recurrentes por ausentismo. No cuenta con herramientas</w:t>
      </w:r>
      <w:r>
        <w:t xml:space="preserve"> </w:t>
      </w:r>
      <w:r>
        <w:t xml:space="preserve">analíticas para anticiparlo; es el perfil donde el diferencial de predicción y</w:t>
      </w:r>
      <w:r>
        <w:t xml:space="preserve"> </w:t>
      </w:r>
      <w:r>
        <w:t xml:space="preserve">overbooking tiene mayor impacto percibido y donde el valor económico del</w:t>
      </w:r>
      <w:r>
        <w:t xml:space="preserve"> </w:t>
      </w:r>
      <w:r>
        <w:t xml:space="preserve">producto es más fácil de demostrar.</w:t>
      </w:r>
    </w:p>
    <w:p>
      <w:pPr>
        <w:pStyle w:val="FirstParagraph"/>
      </w:pPr>
      <w:r>
        <w:t xml:space="preserve">La decisión de mantener el segmento amplio dentro de</w:t>
      </w:r>
      <w:r>
        <w:t xml:space="preserve"> </w:t>
      </w:r>
      <w:r>
        <w:t xml:space="preserve">“</w:t>
      </w:r>
      <w:r>
        <w:t xml:space="preserve">clínicas pequeñas</w:t>
      </w:r>
      <w:r>
        <w:t xml:space="preserve">”</w:t>
      </w:r>
      <w:r>
        <w:t xml:space="preserve">, sin</w:t>
      </w:r>
      <w:r>
        <w:t xml:space="preserve"> </w:t>
      </w:r>
      <w:r>
        <w:t xml:space="preserve">verticalizar por especialidad médica en esta etapa, responde al objetivo de</w:t>
      </w:r>
      <w:r>
        <w:t xml:space="preserve"> </w:t>
      </w:r>
      <w:r>
        <w:t xml:space="preserve">validar la propuesta en un mercado más amplio antes de especializar.</w:t>
      </w:r>
    </w:p>
    <w:p>
      <w:pPr>
        <w:pStyle w:val="BodyText"/>
      </w:pPr>
      <w:r>
        <w:t xml:space="preserve">Perfil sociodemográfico del usuario operativo (factores socioculturales):</w:t>
      </w:r>
    </w:p>
    <w:p>
      <w:pPr>
        <w:pStyle w:val="BodyText"/>
      </w:pPr>
      <w:r>
        <w:t xml:space="preserve">El usuario que opera el sistema cotidianamente —tanto el decisor de compra como</w:t>
      </w:r>
      <w:r>
        <w:t xml:space="preserve"> </w:t>
      </w:r>
      <w:r>
        <w:t xml:space="preserve">el usuario diario— presenta un perfil relativamente homogéneo dentro del</w:t>
      </w:r>
      <w:r>
        <w:t xml:space="preserve"> </w:t>
      </w:r>
      <w:r>
        <w:t xml:space="preserve">segmento:</w:t>
      </w:r>
    </w:p>
    <w:p>
      <w:pPr>
        <w:numPr>
          <w:ilvl w:val="0"/>
          <w:numId w:val="1023"/>
        </w:numPr>
        <w:pStyle w:val="Compact"/>
      </w:pPr>
      <w:r>
        <w:t xml:space="preserve">Edad: entre 30 y 55 años. Los profesionales médicos que gestionan su propio</w:t>
      </w:r>
      <w:r>
        <w:t xml:space="preserve"> </w:t>
      </w:r>
      <w:r>
        <w:t xml:space="preserve">consultorio se encuentran mayoritariamente en ese rango etario; el personal</w:t>
      </w:r>
      <w:r>
        <w:t xml:space="preserve"> </w:t>
      </w:r>
      <w:r>
        <w:t xml:space="preserve">administrativo es algo más joven (25–45 años).</w:t>
      </w:r>
    </w:p>
    <w:p>
      <w:pPr>
        <w:numPr>
          <w:ilvl w:val="0"/>
          <w:numId w:val="1023"/>
        </w:numPr>
        <w:pStyle w:val="Compact"/>
      </w:pPr>
      <w:r>
        <w:t xml:space="preserve">Nivel educacional: universitario completo (médicos) o terciario/universitario</w:t>
      </w:r>
      <w:r>
        <w:t xml:space="preserve"> </w:t>
      </w:r>
      <w:r>
        <w:t xml:space="preserve">en curso (personal administrativo). Alta familiaridad con herramientas</w:t>
      </w:r>
      <w:r>
        <w:t xml:space="preserve"> </w:t>
      </w:r>
      <w:r>
        <w:t xml:space="preserve">digitales de consumo (WhatsApp, Google Calendar, apps bancarias), pero</w:t>
      </w:r>
      <w:r>
        <w:t xml:space="preserve"> </w:t>
      </w:r>
      <w:r>
        <w:t xml:space="preserve">experiencia variable con software de gestión clínica especializado.</w:t>
      </w:r>
    </w:p>
    <w:p>
      <w:pPr>
        <w:numPr>
          <w:ilvl w:val="0"/>
          <w:numId w:val="1023"/>
        </w:numPr>
        <w:pStyle w:val="Compact"/>
      </w:pPr>
      <w:r>
        <w:t xml:space="preserve">Nivel socioeconómico: medio-alto. Los profesionales de salud independientes</w:t>
      </w:r>
      <w:r>
        <w:t xml:space="preserve"> </w:t>
      </w:r>
      <w:r>
        <w:t xml:space="preserve">con consultorio propio en Rosario corresponden a sectores con ingresos</w:t>
      </w:r>
      <w:r>
        <w:t xml:space="preserve"> </w:t>
      </w:r>
      <w:r>
        <w:t xml:space="preserve">suficientes para absorber una suscripción en dólares dentro de los costos</w:t>
      </w:r>
      <w:r>
        <w:t xml:space="preserve"> </w:t>
      </w:r>
      <w:r>
        <w:t xml:space="preserve">operativos del consultorio.</w:t>
      </w:r>
    </w:p>
    <w:p>
      <w:pPr>
        <w:numPr>
          <w:ilvl w:val="0"/>
          <w:numId w:val="1023"/>
        </w:numPr>
        <w:pStyle w:val="Compact"/>
      </w:pPr>
      <w:r>
        <w:t xml:space="preserve">Ubicación: urbana (Rosario y zona de influencia en la fase inicial); acceso</w:t>
      </w:r>
      <w:r>
        <w:t xml:space="preserve"> </w:t>
      </w:r>
      <w:r>
        <w:t xml:space="preserve">desde dispositivos de escritorio y móviles en jornada laboral.</w:t>
      </w:r>
    </w:p>
    <w:p>
      <w:pPr>
        <w:pStyle w:val="FirstParagraph"/>
      </w:pPr>
      <w:r>
        <w:t xml:space="preserve">Estos atributos inciden directamente en las decisiones de diseño del producto:</w:t>
      </w:r>
      <w:r>
        <w:t xml:space="preserve"> </w:t>
      </w:r>
      <w:r>
        <w:t xml:space="preserve">interfaz clara y sin curva de aprendizaje pronunciada, acceso web sin instalación,</w:t>
      </w:r>
      <w:r>
        <w:t xml:space="preserve"> </w:t>
      </w:r>
      <w:r>
        <w:t xml:space="preserve">notificaciones vía Telegram (canal ya incorporado por el segmento) y</w:t>
      </w:r>
      <w:r>
        <w:t xml:space="preserve"> </w:t>
      </w:r>
      <w:r>
        <w:t xml:space="preserve">documentación en español rioplatense.</w:t>
      </w:r>
    </w:p>
    <w:bookmarkEnd w:id="43"/>
    <w:bookmarkStart w:id="44" w:name="X466af61e423810e644bc00d8f2cb69593e74577"/>
    <w:p>
      <w:pPr>
        <w:pStyle w:val="Heading2"/>
      </w:pPr>
      <w:r>
        <w:t xml:space="preserve">4.3 ¿Quiénes son los potenciales usuarios / compradores del negocio?</w:t>
      </w:r>
    </w:p>
    <w:p>
      <w:pPr>
        <w:pStyle w:val="FirstParagraph"/>
      </w:pPr>
      <w:r>
        <w:t xml:space="preserve">Conviene distinguir entre quién decide la compra y quién usa el sistema:</w:t>
      </w:r>
    </w:p>
    <w:p>
      <w:pPr>
        <w:numPr>
          <w:ilvl w:val="0"/>
          <w:numId w:val="1024"/>
        </w:numPr>
      </w:pPr>
      <w:r>
        <w:t xml:space="preserve">Decisor / comprador: el dueño o administrador de la clínica —frecuentemente un</w:t>
      </w:r>
      <w:r>
        <w:t xml:space="preserve"> </w:t>
      </w:r>
      <w:r>
        <w:t xml:space="preserve">profesional médico que también gestiona el negocio—, cuya decisión se guía por</w:t>
      </w:r>
      <w:r>
        <w:t xml:space="preserve"> </w:t>
      </w:r>
      <w:r>
        <w:t xml:space="preserve">el retorno económico (reducción de ausentismo), el costo de la suscripción y la</w:t>
      </w:r>
      <w:r>
        <w:t xml:space="preserve"> </w:t>
      </w:r>
      <w:r>
        <w:t xml:space="preserve">facilidad de adopción.</w:t>
      </w:r>
    </w:p>
    <w:p>
      <w:pPr>
        <w:numPr>
          <w:ilvl w:val="0"/>
          <w:numId w:val="1024"/>
        </w:numPr>
      </w:pPr>
      <w:r>
        <w:t xml:space="preserve">Usuarios:</w:t>
      </w:r>
    </w:p>
    <w:p>
      <w:pPr>
        <w:numPr>
          <w:ilvl w:val="1"/>
          <w:numId w:val="1025"/>
        </w:numPr>
        <w:pStyle w:val="Compact"/>
      </w:pPr>
      <w:r>
        <w:t xml:space="preserve">Personal administrativo / secretaría: gestiona la agenda, las reservas y los</w:t>
      </w:r>
      <w:r>
        <w:t xml:space="preserve"> </w:t>
      </w:r>
      <w:r>
        <w:t xml:space="preserve">recordatorios; valora la rapidez y la claridad de la interfaz.</w:t>
      </w:r>
    </w:p>
    <w:p>
      <w:pPr>
        <w:numPr>
          <w:ilvl w:val="1"/>
          <w:numId w:val="1025"/>
        </w:numPr>
        <w:pStyle w:val="Compact"/>
      </w:pPr>
      <w:r>
        <w:t xml:space="preserve">Profesionales médicos: consultan y registran la historia clínica; valoran la</w:t>
      </w:r>
      <w:r>
        <w:t xml:space="preserve"> </w:t>
      </w:r>
      <w:r>
        <w:t xml:space="preserve">información ordenada y la explicabilidad del riesgo de ausentismo.</w:t>
      </w:r>
    </w:p>
    <w:p>
      <w:pPr>
        <w:pStyle w:val="FirstParagraph"/>
      </w:pPr>
      <w:r>
        <w:t xml:space="preserve">El producto debe satisfacer simultáneamente el criterio económico del decisor y</w:t>
      </w:r>
      <w:r>
        <w:t xml:space="preserve"> </w:t>
      </w:r>
      <w:r>
        <w:t xml:space="preserve">la usabilidad cotidiana de los usuarios operativos.</w:t>
      </w:r>
    </w:p>
    <w:bookmarkEnd w:id="44"/>
    <w:bookmarkStart w:id="45" w:name="X1853b1d9e5bfa4e1c8b2b9626f2fbca49d325b0"/>
    <w:p>
      <w:pPr>
        <w:pStyle w:val="Heading2"/>
      </w:pPr>
      <w:r>
        <w:t xml:space="preserve">4.4 Pautas de comportamiento esperado de cada segmento</w:t>
      </w:r>
    </w:p>
    <w:p>
      <w:pPr>
        <w:numPr>
          <w:ilvl w:val="0"/>
          <w:numId w:val="1026"/>
        </w:numPr>
        <w:pStyle w:val="Compact"/>
      </w:pPr>
      <w:r>
        <w:t xml:space="preserve">Frecuencia de uso: diaria e intensiva (la agenda y la ficha de paciente son</w:t>
      </w:r>
      <w:r>
        <w:t xml:space="preserve"> </w:t>
      </w:r>
      <w:r>
        <w:t xml:space="preserve">herramientas de uso continuo en la jornada).</w:t>
      </w:r>
    </w:p>
    <w:p>
      <w:pPr>
        <w:numPr>
          <w:ilvl w:val="0"/>
          <w:numId w:val="1026"/>
        </w:numPr>
        <w:pStyle w:val="Compact"/>
      </w:pPr>
      <w:r>
        <w:t xml:space="preserve">Razón de uso: ordenar la operación, reducir pérdidas por ausentismo y</w:t>
      </w:r>
      <w:r>
        <w:t xml:space="preserve"> </w:t>
      </w:r>
      <w:r>
        <w:t xml:space="preserve">centralizar la información clínica.</w:t>
      </w:r>
    </w:p>
    <w:p>
      <w:pPr>
        <w:numPr>
          <w:ilvl w:val="0"/>
          <w:numId w:val="1026"/>
        </w:numPr>
        <w:pStyle w:val="Compact"/>
      </w:pPr>
      <w:r>
        <w:t xml:space="preserve">Sensibilidad al precio: moderada a alta, especialmente en el perfil del</w:t>
      </w:r>
      <w:r>
        <w:t xml:space="preserve"> </w:t>
      </w:r>
      <w:r>
        <w:t xml:space="preserve">profesional independiente; el precio en dólares es un punto de fricción que el</w:t>
      </w:r>
      <w:r>
        <w:t xml:space="preserve"> </w:t>
      </w:r>
      <w:r>
        <w:t xml:space="preserve">rango accesible y la demostración de retorno buscan contener.</w:t>
      </w:r>
    </w:p>
    <w:p>
      <w:pPr>
        <w:numPr>
          <w:ilvl w:val="0"/>
          <w:numId w:val="1026"/>
        </w:numPr>
        <w:pStyle w:val="Compact"/>
      </w:pPr>
      <w:r>
        <w:t xml:space="preserve">Proceso de adopción: influido fuertemente por la recomendación de pares</w:t>
      </w:r>
      <w:r>
        <w:t xml:space="preserve"> </w:t>
      </w:r>
      <w:r>
        <w:t xml:space="preserve">(referidos) y por la prueba sin costo; baja predisposición a migrar desde un</w:t>
      </w:r>
      <w:r>
        <w:t xml:space="preserve"> </w:t>
      </w:r>
      <w:r>
        <w:t xml:space="preserve">sistema heredado salvo que el beneficio sea claro y el onboarding, asistido.</w:t>
      </w:r>
    </w:p>
    <w:p>
      <w:pPr>
        <w:numPr>
          <w:ilvl w:val="0"/>
          <w:numId w:val="1026"/>
        </w:numPr>
        <w:pStyle w:val="Compact"/>
      </w:pPr>
      <w:r>
        <w:t xml:space="preserve">Criterio de permanencia: la recurrencia se sostiene si el sistema demuestra</w:t>
      </w:r>
      <w:r>
        <w:t xml:space="preserve"> </w:t>
      </w:r>
      <w:r>
        <w:t xml:space="preserve">impacto medible (reporte mensual de ausentismo) y si el soporte resuelve los</w:t>
      </w:r>
      <w:r>
        <w:t xml:space="preserve"> </w:t>
      </w:r>
      <w:r>
        <w:t xml:space="preserve">problemas con rapidez.</w:t>
      </w:r>
    </w:p>
    <w:p>
      <w:pPr>
        <w:pStyle w:val="FirstParagraph"/>
      </w:pPr>
      <w:r>
        <w:t xml:space="preserve">Perfil del visitante del sitio / usuario del sistema:</w:t>
      </w:r>
    </w:p>
    <w:p>
      <w:pPr>
        <w:numPr>
          <w:ilvl w:val="0"/>
          <w:numId w:val="1027"/>
        </w:numPr>
        <w:pStyle w:val="Compact"/>
      </w:pPr>
      <w:r>
        <w:t xml:space="preserve">Sexo: sin diferencia significativa por segmento (tanto hombres como mujeres</w:t>
      </w:r>
      <w:r>
        <w:t xml:space="preserve"> </w:t>
      </w:r>
      <w:r>
        <w:t xml:space="preserve">ejercen medicina independiente y ocupan roles administrativos en clínicas</w:t>
      </w:r>
      <w:r>
        <w:t xml:space="preserve"> </w:t>
      </w:r>
      <w:r>
        <w:t xml:space="preserve">pequeñas en Argentina).</w:t>
      </w:r>
    </w:p>
    <w:p>
      <w:pPr>
        <w:numPr>
          <w:ilvl w:val="0"/>
          <w:numId w:val="1027"/>
        </w:numPr>
        <w:pStyle w:val="Compact"/>
      </w:pPr>
      <w:r>
        <w:t xml:space="preserve">Edad: 30–55 años (decisores); 25–45 años (usuarios operativos).</w:t>
      </w:r>
    </w:p>
    <w:p>
      <w:pPr>
        <w:numPr>
          <w:ilvl w:val="0"/>
          <w:numId w:val="1027"/>
        </w:numPr>
        <w:pStyle w:val="Compact"/>
      </w:pPr>
      <w:r>
        <w:t xml:space="preserve">Nivel de ingreso: medio-alto (profesionales independientes con consultorio</w:t>
      </w:r>
      <w:r>
        <w:t xml:space="preserve"> </w:t>
      </w:r>
      <w:r>
        <w:t xml:space="preserve">propio o integrantes de centros médicos privados).</w:t>
      </w:r>
    </w:p>
    <w:p>
      <w:pPr>
        <w:numPr>
          <w:ilvl w:val="0"/>
          <w:numId w:val="1027"/>
        </w:numPr>
        <w:pStyle w:val="Compact"/>
      </w:pPr>
      <w:r>
        <w:t xml:space="preserve">Frecuencia de uso: diaria, en jornada laboral (mañana y tarde).</w:t>
      </w:r>
    </w:p>
    <w:p>
      <w:pPr>
        <w:numPr>
          <w:ilvl w:val="0"/>
          <w:numId w:val="1027"/>
        </w:numPr>
        <w:pStyle w:val="Compact"/>
      </w:pPr>
      <w:r>
        <w:t xml:space="preserve">Razón de uso: gestión de agenda, registro de historia clínica y seguimiento</w:t>
      </w:r>
      <w:r>
        <w:t xml:space="preserve"> </w:t>
      </w:r>
      <w:r>
        <w:t xml:space="preserve">de ausentismo como tareas recurrentes.</w:t>
      </w:r>
    </w:p>
    <w:p>
      <w:pPr>
        <w:numPr>
          <w:ilvl w:val="0"/>
          <w:numId w:val="1027"/>
        </w:numPr>
        <w:pStyle w:val="Compact"/>
      </w:pPr>
      <w:r>
        <w:t xml:space="preserve">Motivación adicional: reducción de carga administrativa, acceso a información</w:t>
      </w:r>
      <w:r>
        <w:t xml:space="preserve"> </w:t>
      </w:r>
      <w:r>
        <w:t xml:space="preserve">clínica ordenada y anticipación de turnos en riesgo.</w:t>
      </w:r>
    </w:p>
    <w:p>
      <w:pPr>
        <w:pStyle w:val="FirstParagraph"/>
      </w:pPr>
      <w:r>
        <w:t xml:space="preserve">La información de mercado que sustenta esta segmentación proviene de fuentes</w:t>
      </w:r>
      <w:r>
        <w:t xml:space="preserve"> </w:t>
      </w:r>
      <w:r>
        <w:t xml:space="preserve">secundarias (REFES, 2023; Geblix, 2024; Informes de Expertos, 2024) y del</w:t>
      </w:r>
      <w:r>
        <w:t xml:space="preserve"> </w:t>
      </w:r>
      <w:r>
        <w:t xml:space="preserve">relevamiento competitivo propio de mayo de 2026. La validación con fuentes</w:t>
      </w:r>
      <w:r>
        <w:t xml:space="preserve"> </w:t>
      </w:r>
      <w:r>
        <w:t xml:space="preserve">primarias se realizará durante el piloto previsto en el cronograma del proyecto.</w:t>
      </w:r>
    </w:p>
    <w:bookmarkEnd w:id="45"/>
    <w:bookmarkEnd w:id="46"/>
    <w:bookmarkStart w:id="49" w:name="plan-de-acción"/>
    <w:p>
      <w:pPr>
        <w:pStyle w:val="Heading1"/>
      </w:pPr>
      <w:r>
        <w:t xml:space="preserve">5. PLAN DE ACCIÓN</w:t>
      </w:r>
    </w:p>
    <w:bookmarkStart w:id="47" w:name="programas-generales-de-acción"/>
    <w:p>
      <w:pPr>
        <w:pStyle w:val="Heading2"/>
      </w:pPr>
      <w:r>
        <w:t xml:space="preserve">5.1 Programas generales de acción</w:t>
      </w:r>
    </w:p>
    <w:p>
      <w:pPr>
        <w:pStyle w:val="FirstParagraph"/>
      </w:pPr>
      <w:r>
        <w:t xml:space="preserve">El plan de acción de Kuris se estructura en tres programas generales que</w:t>
      </w:r>
      <w:r>
        <w:t xml:space="preserve"> </w:t>
      </w:r>
      <w:r>
        <w:t xml:space="preserve">cubren el horizonte mayo–diciembre 2026 (etapa de construcción y validación del</w:t>
      </w:r>
      <w:r>
        <w:t xml:space="preserve"> </w:t>
      </w:r>
      <w:r>
        <w:t xml:space="preserve">MVP) y la proyección inmediata posterior (primer semestre 2027, etapa de</w:t>
      </w:r>
      <w:r>
        <w:t xml:space="preserve"> </w:t>
      </w:r>
      <w:r>
        <w:t xml:space="preserve">crecimiento inicial).</w:t>
      </w:r>
    </w:p>
    <w:p>
      <w:pPr>
        <w:pStyle w:val="BodyText"/>
      </w:pPr>
      <w:r>
        <w:t xml:space="preserve">Programa G1 — Construcción y validación del producto</w:t>
      </w:r>
    </w:p>
    <w:p>
      <w:pPr>
        <w:pStyle w:val="BodyText"/>
      </w:pPr>
      <w:r>
        <w:t xml:space="preserve">Objetivo: completar el MVP funcional y demostrable, validar su funcionamiento</w:t>
      </w:r>
      <w:r>
        <w:t xml:space="preserve"> </w:t>
      </w:r>
      <w:r>
        <w:t xml:space="preserve">técnico sobre al menos un piloto real, y obtener las primeras métricas</w:t>
      </w:r>
      <w:r>
        <w:t xml:space="preserve"> </w:t>
      </w:r>
      <w:r>
        <w:t xml:space="preserve">verificables de impacto sobre el ausentismo.</w:t>
      </w:r>
    </w:p>
    <w:p>
      <w:pPr>
        <w:pStyle w:val="BodyText"/>
      </w:pPr>
      <w:r>
        <w:t xml:space="preserve">Este programa es la condición necesaria para todo lo demás: sin un producto</w:t>
      </w:r>
      <w:r>
        <w:t xml:space="preserve"> </w:t>
      </w:r>
      <w:r>
        <w:t xml:space="preserve">funcionando y sin datos reales de impacto, no es posible sostener el argumento</w:t>
      </w:r>
      <w:r>
        <w:t xml:space="preserve"> </w:t>
      </w:r>
      <w:r>
        <w:t xml:space="preserve">comercial ni avanzar hacia el crecimiento. La prioridad es clara: la</w:t>
      </w:r>
      <w:r>
        <w:t xml:space="preserve"> </w:t>
      </w:r>
      <w:r>
        <w:t xml:space="preserve">interoperabilidad FHIR y el aislamiento multitenant son las capacidades no</w:t>
      </w:r>
      <w:r>
        <w:t xml:space="preserve"> </w:t>
      </w:r>
      <w:r>
        <w:t xml:space="preserve">negociables sobre las que se construye todo lo demás; la predicción heurística,</w:t>
      </w:r>
      <w:r>
        <w:t xml:space="preserve"> </w:t>
      </w:r>
      <w:r>
        <w:t xml:space="preserve">los recordatorios diferenciados y el overbooking son las capacidades diferenciales</w:t>
      </w:r>
      <w:r>
        <w:t xml:space="preserve"> </w:t>
      </w:r>
      <w:r>
        <w:t xml:space="preserve">que justifican la adopción.</w:t>
      </w:r>
    </w:p>
    <w:p>
      <w:pPr>
        <w:pStyle w:val="BodyText"/>
      </w:pPr>
      <w:r>
        <w:t xml:space="preserve">La metodología ICONIX — con sus cuatro casos de uso core (CU-01 a CU-04) — rige</w:t>
      </w:r>
      <w:r>
        <w:t xml:space="preserve"> </w:t>
      </w:r>
      <w:r>
        <w:t xml:space="preserve">el desarrollo y garantiza que cada componente sea especificado, implementado y</w:t>
      </w:r>
      <w:r>
        <w:t xml:space="preserve"> </w:t>
      </w:r>
      <w:r>
        <w:t xml:space="preserve">verificado antes de avanzar al siguiente.</w:t>
      </w:r>
    </w:p>
    <w:p>
      <w:pPr>
        <w:pStyle w:val="BodyText"/>
      </w:pPr>
      <w:r>
        <w:t xml:space="preserve">Programa G2 — Adquisición y retención de clientes piloto</w:t>
      </w:r>
    </w:p>
    <w:p>
      <w:pPr>
        <w:pStyle w:val="BodyText"/>
      </w:pPr>
      <w:r>
        <w:t xml:space="preserve">Objetivo: incorporar entre 1 y 3 clínicas piloto durante el período de</w:t>
      </w:r>
      <w:r>
        <w:t xml:space="preserve"> </w:t>
      </w:r>
      <w:r>
        <w:t xml:space="preserve">desarrollo, en modalidad de acceso sin costo a cambio de uso activo y</w:t>
      </w:r>
      <w:r>
        <w:t xml:space="preserve"> </w:t>
      </w:r>
      <w:r>
        <w:t xml:space="preserve">retroalimentación estructurada, con el doble propósito de validar la adopción y</w:t>
      </w:r>
      <w:r>
        <w:t xml:space="preserve"> </w:t>
      </w:r>
      <w:r>
        <w:t xml:space="preserve">generar los primeros casos de referencia verificables.</w:t>
      </w:r>
    </w:p>
    <w:p>
      <w:pPr>
        <w:pStyle w:val="BodyText"/>
      </w:pPr>
      <w:r>
        <w:t xml:space="preserve">La estrategia de adquisición en esta etapa no es comercial en sentido estricto:</w:t>
      </w:r>
      <w:r>
        <w:t xml:space="preserve"> </w:t>
      </w:r>
      <w:r>
        <w:t xml:space="preserve">no se persigue revenue inmediato sino evidencia. El canal prioritario es la red</w:t>
      </w:r>
      <w:r>
        <w:t xml:space="preserve"> </w:t>
      </w:r>
      <w:r>
        <w:t xml:space="preserve">de contactos directos del fundador en el ecosistema médico de Rosario</w:t>
      </w:r>
      <w:r>
        <w:t xml:space="preserve"> </w:t>
      </w:r>
      <w:r>
        <w:t xml:space="preserve">(derivaciones, colegas, redes profesionales). La retención de los pilotos se</w:t>
      </w:r>
      <w:r>
        <w:t xml:space="preserve"> </w:t>
      </w:r>
      <w:r>
        <w:t xml:space="preserve">gestiona mediante soporte personalizado semanal y entrega de reportes mensuales</w:t>
      </w:r>
      <w:r>
        <w:t xml:space="preserve"> </w:t>
      </w:r>
      <w:r>
        <w:t xml:space="preserve">de ausentismo que demuestren valor medible.</w:t>
      </w:r>
    </w:p>
    <w:p>
      <w:pPr>
        <w:pStyle w:val="BodyText"/>
      </w:pPr>
      <w:r>
        <w:t xml:space="preserve">La evidencia empírica en B2B SaaS indica que entre 3 y 5 clientes piloto activos</w:t>
      </w:r>
      <w:r>
        <w:t xml:space="preserve"> </w:t>
      </w:r>
      <w:r>
        <w:t xml:space="preserve">son suficientes para alcanzar product-market fit inicial en nichos acotados</w:t>
      </w:r>
      <w:r>
        <w:t xml:space="preserve"> </w:t>
      </w:r>
      <w:r>
        <w:t xml:space="preserve">(SquadS Ventures, 2025). En sectores de salud regulados, la validación con datos</w:t>
      </w:r>
      <w:r>
        <w:t xml:space="preserve"> </w:t>
      </w:r>
      <w:r>
        <w:t xml:space="preserve">reales de al menos un piloto es condición previa al escalamiento de la propuesta</w:t>
      </w:r>
      <w:r>
        <w:t xml:space="preserve"> </w:t>
      </w:r>
      <w:r>
        <w:t xml:space="preserve">comercial (Bessemer Venture Partners, 2024).</w:t>
      </w:r>
    </w:p>
    <w:p>
      <w:pPr>
        <w:pStyle w:val="BodyText"/>
      </w:pPr>
      <w:r>
        <w:t xml:space="preserve">Programa G3 — Estructura operativa y cumplimiento</w:t>
      </w:r>
    </w:p>
    <w:p>
      <w:pPr>
        <w:pStyle w:val="BodyText"/>
      </w:pPr>
      <w:r>
        <w:t xml:space="preserve">Objetivo: mantener la estructura de costos liviana, asegurar el cumplimiento</w:t>
      </w:r>
      <w:r>
        <w:t xml:space="preserve"> </w:t>
      </w:r>
      <w:r>
        <w:t xml:space="preserve">normativo de los datos de salud y preparar los procesos de onboarding para</w:t>
      </w:r>
      <w:r>
        <w:t xml:space="preserve"> </w:t>
      </w:r>
      <w:r>
        <w:t xml:space="preserve">escalar de 3 a 12–18 clínicas sin degradar la calidad del servicio.</w:t>
      </w:r>
    </w:p>
    <w:p>
      <w:pPr>
        <w:pStyle w:val="BodyText"/>
      </w:pPr>
      <w:r>
        <w:t xml:space="preserve">Este programa opera en paralelo con los anteriores: el cumplimiento de la Ley</w:t>
      </w:r>
      <w:r>
        <w:t xml:space="preserve"> </w:t>
      </w:r>
      <w:r>
        <w:t xml:space="preserve">27.706 y la Ley 25.326 no es negociable desde el primer cliente, y el proceso de</w:t>
      </w:r>
      <w:r>
        <w:t xml:space="preserve"> </w:t>
      </w:r>
      <w:r>
        <w:t xml:space="preserve">onboarding debe estar suficientemente documentado para que la incorporación de</w:t>
      </w:r>
      <w:r>
        <w:t xml:space="preserve"> </w:t>
      </w:r>
      <w:r>
        <w:t xml:space="preserve">cada nueva clínica no consuma tiempo desproporcionado del fundador.</w:t>
      </w:r>
    </w:p>
    <w:p>
      <w:pPr>
        <w:pStyle w:val="BodyText"/>
      </w:pPr>
      <w:r>
        <w:t xml:space="preserve">El contexto regulatorio argentino opera como habilitador: la Estrategia Nacional</w:t>
      </w:r>
      <w:r>
        <w:t xml:space="preserve"> </w:t>
      </w:r>
      <w:r>
        <w:t xml:space="preserve">de Salud Digital 2025–2030 consolidó en junio de 2026 la adopción de HL7 FHIR</w:t>
      </w:r>
      <w:r>
        <w:t xml:space="preserve"> </w:t>
      </w:r>
      <w:r>
        <w:t xml:space="preserve">como estándar de interoperabilidad federal (Organización Panamericana de la</w:t>
      </w:r>
      <w:r>
        <w:t xml:space="preserve"> </w:t>
      </w:r>
      <w:r>
        <w:t xml:space="preserve">Salud, 2026; Argentina.gob.ar, 2026). La arquitectura de Kuris está</w:t>
      </w:r>
      <w:r>
        <w:t xml:space="preserve"> </w:t>
      </w:r>
      <w:r>
        <w:t xml:space="preserve">alineada con esa hoja de ruta desde su diseño, lo que convierte el cumplimiento</w:t>
      </w:r>
      <w:r>
        <w:t xml:space="preserve"> </w:t>
      </w:r>
      <w:r>
        <w:t xml:space="preserve">normativo en ventaja competitiva adicional.</w:t>
      </w:r>
    </w:p>
    <w:bookmarkEnd w:id="47"/>
    <w:bookmarkStart w:id="48" w:name="programas-específicos-de-acción"/>
    <w:p>
      <w:pPr>
        <w:pStyle w:val="Heading2"/>
      </w:pPr>
      <w:r>
        <w:t xml:space="preserve">5.2 Programas específicos de acción</w:t>
      </w:r>
    </w:p>
    <w:p>
      <w:pPr>
        <w:pStyle w:val="FirstParagraph"/>
      </w:pPr>
      <w:r>
        <w:t xml:space="preserve">Los programas generales se descomponen en acciones concretas organizadas por</w:t>
      </w:r>
      <w:r>
        <w:t xml:space="preserve"> </w:t>
      </w:r>
      <w:r>
        <w:t xml:space="preserve">fase. El horizonte es el período mayo 2026 – junio 2027, que cubre desde el</w:t>
      </w:r>
      <w:r>
        <w:t xml:space="preserve"> </w:t>
      </w:r>
      <w:r>
        <w:t xml:space="preserve">inicio del desarrollo hasta el punto de equilibrio operativo estimado.</w:t>
      </w:r>
    </w:p>
    <w:p>
      <w:pPr>
        <w:pStyle w:val="BodyText"/>
      </w:pPr>
      <w:r>
        <w:t xml:space="preserve">TABLA DE COSTOS OPERATIVOS PROYECTADOS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mensual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VPS (4 GB RAM, 2 vCPU, 80 GB SSD)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Proveedor: Contabo o equivalente; escala a 8 GB con &gt;10 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LLM — Claude (Anthropic)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Estimación: 500–2.000 llamadas/mes × ~USD 0,02 por llamada (claude-haiku-4-5); variable con volumen de pilotos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de correo transaccional (SMTP / email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o equivalente; hasta 10.000 emails/mes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+ certificado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Prorrateado 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Contingencia operativa (backups, monitoreo, herramientas menores)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38–58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del 30 % sobre los costos anteriores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ESTIMADO (escenario 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85–145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ESTIMADO (escenario de crecimiento, 10+ tenants activos)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150–220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VPS de 8 GB y mayor volumen de API</w:t>
            </w:r>
          </w:p>
        </w:tc>
      </w:tr>
    </w:tbl>
    <w:p>
      <w:pPr>
        <w:pStyle w:val="BodyText"/>
      </w:pPr>
      <w:r>
        <w:t xml:space="preserve">Nota: el costo del tiempo del fundador no se contabiliza como costo operativo</w:t>
      </w:r>
      <w:r>
        <w:t xml:space="preserve"> </w:t>
      </w:r>
      <w:r>
        <w:t xml:space="preserve">en efectivo en esta etapa (bootstrapping unipersonal), pero representa un costo</w:t>
      </w:r>
      <w:r>
        <w:t xml:space="preserve"> </w:t>
      </w:r>
      <w:r>
        <w:t xml:space="preserve">de oportunidad real que se reconoce como tal. El análisis de punto de equilibrio</w:t>
      </w:r>
      <w:r>
        <w:t xml:space="preserve"> </w:t>
      </w:r>
      <w:r>
        <w:t xml:space="preserve">opera sobre costos en efectivo; una evaluación de rentabilidad para un eventual</w:t>
      </w:r>
      <w:r>
        <w:t xml:space="preserve"> </w:t>
      </w:r>
      <w:r>
        <w:t xml:space="preserve">inversor debería incluir una remuneración de mercado para el rol de CTO/CEO</w:t>
      </w:r>
      <w:r>
        <w:t xml:space="preserve"> </w:t>
      </w:r>
      <w:r>
        <w:t xml:space="preserve">(referencia: USD 800–1.200/mes para desarrollador senior en Argentina en dólares</w:t>
      </w:r>
      <w:r>
        <w:t xml:space="preserve"> </w:t>
      </w:r>
      <w:r>
        <w:t xml:space="preserve">oficiales, según mercado freelance tech, 2026).</w:t>
      </w:r>
    </w:p>
    <w:p>
      <w:pPr>
        <w:pStyle w:val="BodyText"/>
      </w:pPr>
      <w:r>
        <w:t xml:space="preserve">Punto de equilibrio operativo (sobre costos en efectivo):</w:t>
      </w:r>
      <w:r>
        <w:t xml:space="preserve"> </w:t>
      </w:r>
      <w:r>
        <w:t xml:space="preserve">- Escenario base (costos USD 145/mes): 4 clínicas × USD 40 = USD 160 → equilibrio</w:t>
      </w:r>
      <w:r>
        <w:t xml:space="preserve"> </w:t>
      </w:r>
      <w:r>
        <w:t xml:space="preserve">- Escenario realista (10 clínicas): ingresos USD 400 − costos USD 145 = margen USD 255 (64 %)</w:t>
      </w:r>
      <w:r>
        <w:t xml:space="preserve"> </w:t>
      </w:r>
      <w:r>
        <w:t xml:space="preserve">- Escenario objetivo (18 clínicas): ingresos USD 720 − costos USD 165 = margen USD 555 (77 %)</w:t>
      </w:r>
    </w:p>
    <w:p>
      <w:pPr>
        <w:pStyle w:val="BodyText"/>
      </w:pPr>
      <w:r>
        <w:t xml:space="preserve">FASE 1 — Construcción del MVP (mayo–agosto 2026)</w:t>
      </w:r>
    </w:p>
    <w:p>
      <w:pPr>
        <w:pStyle w:val="BodyText"/>
      </w:pPr>
      <w:r>
        <w:t xml:space="preserve">Acciones técnicas:</w:t>
      </w:r>
    </w:p>
    <w:p>
      <w:pPr>
        <w:numPr>
          <w:ilvl w:val="0"/>
          <w:numId w:val="1028"/>
        </w:numPr>
      </w:pPr>
      <w:r>
        <w:t xml:space="preserve">Completar el backend FHIR R4 con los seis recursos críticos (Patient,</w:t>
      </w:r>
      <w:r>
        <w:t xml:space="preserve"> </w:t>
      </w:r>
      <w:r>
        <w:t xml:space="preserve">Practitioner, Appointment, Encounter, Observation, Coverage) sobre</w:t>
      </w:r>
      <w:r>
        <w:t xml:space="preserve"> </w:t>
      </w:r>
      <w:r>
        <w:t xml:space="preserve">arquitectura multitenant con aislamiento por tenant_id.</w:t>
      </w:r>
      <w:r>
        <w:t xml:space="preserve"> </w:t>
      </w:r>
      <w:r>
        <w:t xml:space="preserve">Hito: todos los endpoints FHIR responden con recursos válidos según el</w:t>
      </w:r>
      <w:r>
        <w:t xml:space="preserve"> </w:t>
      </w:r>
      <w:r>
        <w:t xml:space="preserve">validador oficial de HL7.</w:t>
      </w:r>
    </w:p>
    <w:p>
      <w:pPr>
        <w:numPr>
          <w:ilvl w:val="0"/>
          <w:numId w:val="1028"/>
        </w:numPr>
      </w:pPr>
      <w:r>
        <w:t xml:space="preserve">Implementar el módulo de obra social con validación de tope semanal (CU-01).</w:t>
      </w:r>
      <w:r>
        <w:t xml:space="preserve"> </w:t>
      </w:r>
      <w:r>
        <w:t xml:space="preserve">Hito: la reserva de turno rechaza correctamente un paciente que supera el</w:t>
      </w:r>
      <w:r>
        <w:t xml:space="preserve"> </w:t>
      </w:r>
      <w:r>
        <w:t xml:space="preserve">tope semanal de cobertura.</w:t>
      </w:r>
    </w:p>
    <w:p>
      <w:pPr>
        <w:numPr>
          <w:ilvl w:val="0"/>
          <w:numId w:val="1028"/>
        </w:numPr>
      </w:pPr>
      <w:r>
        <w:t xml:space="preserve">Implementar el motor de predicción heurística de ausentismo (CU-03): scoring</w:t>
      </w:r>
      <w:r>
        <w:t xml:space="preserve"> </w:t>
      </w:r>
      <w:r>
        <w:t xml:space="preserve">por historial de no-show, anticipación, día y franja horaria.</w:t>
      </w:r>
      <w:r>
        <w:t xml:space="preserve"> </w:t>
      </w:r>
      <w:r>
        <w:t xml:space="preserve">Hito: el sistema asigna un score de riesgo a cada turno reservado y lo expone</w:t>
      </w:r>
      <w:r>
        <w:t xml:space="preserve"> </w:t>
      </w:r>
      <w:r>
        <w:t xml:space="preserve">en la interfaz del profesional con factores interpretables.</w:t>
      </w:r>
    </w:p>
    <w:p>
      <w:pPr>
        <w:numPr>
          <w:ilvl w:val="0"/>
          <w:numId w:val="1028"/>
        </w:numPr>
      </w:pPr>
      <w:r>
        <w:t xml:space="preserve">Implementar el módulo de recordatorios inteligentes diferenciados por riesgo</w:t>
      </w:r>
      <w:r>
        <w:t xml:space="preserve"> </w:t>
      </w:r>
      <w:r>
        <w:t xml:space="preserve">(CU-03): priorización de notificaciones vía Telegram y email según score de</w:t>
      </w:r>
      <w:r>
        <w:t xml:space="preserve"> </w:t>
      </w:r>
      <w:r>
        <w:t xml:space="preserve">ausentismo.</w:t>
      </w:r>
      <w:r>
        <w:t xml:space="preserve"> </w:t>
      </w:r>
      <w:r>
        <w:t xml:space="preserve">Hito: pacientes de alto riesgo reciben recordatorios 48 y 24 horas antes</w:t>
      </w:r>
      <w:r>
        <w:t xml:space="preserve"> </w:t>
      </w:r>
      <w:r>
        <w:t xml:space="preserve">del turno.</w:t>
      </w:r>
    </w:p>
    <w:p>
      <w:pPr>
        <w:numPr>
          <w:ilvl w:val="0"/>
          <w:numId w:val="1028"/>
        </w:numPr>
      </w:pPr>
      <w:r>
        <w:t xml:space="preserve">Implementar el módulo de overbooking inteligente (CU-04): sugerencia</w:t>
      </w:r>
      <w:r>
        <w:t xml:space="preserve"> </w:t>
      </w:r>
      <w:r>
        <w:t xml:space="preserve">automática de sobreturno en slots con score de riesgo elevado, con tope</w:t>
      </w:r>
      <w:r>
        <w:t xml:space="preserve"> </w:t>
      </w:r>
      <w:r>
        <w:t xml:space="preserve">configurable por profesional.</w:t>
      </w:r>
      <w:r>
        <w:t xml:space="preserve"> </w:t>
      </w:r>
      <w:r>
        <w:t xml:space="preserve">Hito: el sistema sugiere overbooking cuando la probabilidad de ausentismo</w:t>
      </w:r>
      <w:r>
        <w:t xml:space="preserve"> </w:t>
      </w:r>
      <w:r>
        <w:t xml:space="preserve">supera el umbral parametrizable.</w:t>
      </w:r>
    </w:p>
    <w:p>
      <w:pPr>
        <w:numPr>
          <w:ilvl w:val="0"/>
          <w:numId w:val="1028"/>
        </w:numPr>
      </w:pPr>
      <w:r>
        <w:t xml:space="preserve">Integrar la API de Claude (Anthropic) para resumen automático de historia</w:t>
      </w:r>
      <w:r>
        <w:t xml:space="preserve"> </w:t>
      </w:r>
      <w:r>
        <w:t xml:space="preserve">clínica (CU-02): al cerrar un Encounter, el sistema envía los datos FHIR</w:t>
      </w:r>
      <w:r>
        <w:t xml:space="preserve"> </w:t>
      </w:r>
      <w:r>
        <w:t xml:space="preserve">estructurados al LLM y devuelve un resumen en lenguaje natural para</w:t>
      </w:r>
      <w:r>
        <w:t xml:space="preserve"> </w:t>
      </w:r>
      <w:r>
        <w:t xml:space="preserve">validación del médico.</w:t>
      </w:r>
      <w:r>
        <w:t xml:space="preserve"> </w:t>
      </w:r>
      <w:r>
        <w:t xml:space="preserve">Hito: el médico recibe un borrador de resumen en menos de 3 segundos al</w:t>
      </w:r>
      <w:r>
        <w:t xml:space="preserve"> </w:t>
      </w:r>
      <w:r>
        <w:t xml:space="preserve">cerrar la consulta; la tasa de aceptación sin edición supera el 50 % en</w:t>
      </w:r>
      <w:r>
        <w:t xml:space="preserve"> </w:t>
      </w:r>
      <w:r>
        <w:t xml:space="preserve">el piloto.</w:t>
      </w:r>
    </w:p>
    <w:p>
      <w:pPr>
        <w:numPr>
          <w:ilvl w:val="0"/>
          <w:numId w:val="1028"/>
        </w:numPr>
      </w:pPr>
      <w:r>
        <w:t xml:space="preserve">Integrar la API de Claude para sugerencia automática de CIE-10: al ingresar</w:t>
      </w:r>
      <w:r>
        <w:t xml:space="preserve"> </w:t>
      </w:r>
      <w:r>
        <w:t xml:space="preserve">el motivo de consulta en texto libre, el sistema sugiere el código CIE-10</w:t>
      </w:r>
      <w:r>
        <w:t xml:space="preserve"> </w:t>
      </w:r>
      <w:r>
        <w:t xml:space="preserve">más probable con una breve justificación.</w:t>
      </w:r>
      <w:r>
        <w:t xml:space="preserve"> </w:t>
      </w:r>
      <w:r>
        <w:t xml:space="preserve">Hito: el sistema sugiere el código correcto en el primer resultado en más</w:t>
      </w:r>
      <w:r>
        <w:t xml:space="preserve"> </w:t>
      </w:r>
      <w:r>
        <w:t xml:space="preserve">del 70 % de los casos evaluados sobre el piloto.</w:t>
      </w:r>
    </w:p>
    <w:p>
      <w:pPr>
        <w:pStyle w:val="FirstParagraph"/>
      </w:pPr>
      <w:r>
        <w:t xml:space="preserve">Acciones comerciales y piloto:</w:t>
      </w:r>
    </w:p>
    <w:p>
      <w:pPr>
        <w:numPr>
          <w:ilvl w:val="0"/>
          <w:numId w:val="1029"/>
        </w:numPr>
      </w:pPr>
      <w:r>
        <w:t xml:space="preserve">Identificar y contactar entre 3 y 5 clínicas o consultorios en Rosario como</w:t>
      </w:r>
      <w:r>
        <w:t xml:space="preserve"> </w:t>
      </w:r>
      <w:r>
        <w:t xml:space="preserve">candidatos a piloto. Perfil objetivo: profesionales con historial de</w:t>
      </w:r>
      <w:r>
        <w:t xml:space="preserve"> </w:t>
      </w:r>
      <w:r>
        <w:t xml:space="preserve">ausentismo percibido como problema y disposición a adoptar herramientas</w:t>
      </w:r>
      <w:r>
        <w:t xml:space="preserve"> </w:t>
      </w:r>
      <w:r>
        <w:t xml:space="preserve">digitales.</w:t>
      </w:r>
    </w:p>
    <w:p>
      <w:pPr>
        <w:numPr>
          <w:ilvl w:val="0"/>
          <w:numId w:val="1029"/>
        </w:numPr>
      </w:pPr>
      <w:r>
        <w:t xml:space="preserve">Acordar los términos del piloto: acceso sin costo durante 3 meses, compromiso</w:t>
      </w:r>
      <w:r>
        <w:t xml:space="preserve"> </w:t>
      </w:r>
      <w:r>
        <w:t xml:space="preserve">de uso activo (mínimo 20 turnos/semana cargados en el sistema) y sesión</w:t>
      </w:r>
      <w:r>
        <w:t xml:space="preserve"> </w:t>
      </w:r>
      <w:r>
        <w:t xml:space="preserve">mensual de retroalimentación con el fundador.</w:t>
      </w:r>
    </w:p>
    <w:p>
      <w:pPr>
        <w:numPr>
          <w:ilvl w:val="0"/>
          <w:numId w:val="1029"/>
        </w:numPr>
      </w:pPr>
      <w:r>
        <w:t xml:space="preserve">Realizar el onboarding de al menos 1 clínica piloto antes del cierre de</w:t>
      </w:r>
      <w:r>
        <w:t xml:space="preserve"> </w:t>
      </w:r>
      <w:r>
        <w:t xml:space="preserve">agosto de 2026.</w:t>
      </w:r>
    </w:p>
    <w:p>
      <w:pPr>
        <w:pStyle w:val="FirstParagraph"/>
      </w:pPr>
      <w:r>
        <w:t xml:space="preserve">Indicadores de la fase:</w:t>
      </w:r>
    </w:p>
    <w:p>
      <w:pPr>
        <w:numPr>
          <w:ilvl w:val="0"/>
          <w:numId w:val="1030"/>
        </w:numPr>
        <w:pStyle w:val="Compact"/>
      </w:pPr>
      <w:r>
        <w:t xml:space="preserve">Cobertura FHIR R4: 6 de 6 recursos implementados.</w:t>
      </w:r>
    </w:p>
    <w:p>
      <w:pPr>
        <w:numPr>
          <w:ilvl w:val="0"/>
          <w:numId w:val="1030"/>
        </w:numPr>
        <w:pStyle w:val="Compact"/>
      </w:pPr>
      <w:r>
        <w:t xml:space="preserve">Score de ausentismo activo en producción piloto.</w:t>
      </w:r>
    </w:p>
    <w:p>
      <w:pPr>
        <w:numPr>
          <w:ilvl w:val="0"/>
          <w:numId w:val="1030"/>
        </w:numPr>
        <w:pStyle w:val="Compact"/>
      </w:pPr>
      <w:r>
        <w:t xml:space="preserve">Al menos 1 clínica piloto activa con datos reales.</w:t>
      </w:r>
    </w:p>
    <w:p>
      <w:pPr>
        <w:pStyle w:val="FirstParagraph"/>
      </w:pPr>
      <w:r>
        <w:t xml:space="preserve">FASE 2 — Validación y ajuste (septiembre–noviembre 2026)</w:t>
      </w:r>
    </w:p>
    <w:p>
      <w:pPr>
        <w:pStyle w:val="BodyText"/>
      </w:pPr>
      <w:r>
        <w:t xml:space="preserve">Acciones técnicas:</w:t>
      </w:r>
    </w:p>
    <w:p>
      <w:pPr>
        <w:numPr>
          <w:ilvl w:val="0"/>
          <w:numId w:val="1031"/>
        </w:numPr>
      </w:pPr>
      <w:r>
        <w:t xml:space="preserve">Completar el frontend funcional: autenticación, agenda interactiva, ficha de</w:t>
      </w:r>
      <w:r>
        <w:t xml:space="preserve"> </w:t>
      </w:r>
      <w:r>
        <w:t xml:space="preserve">paciente con historia clínica SOAP básica (CU-02), reporte mensual de</w:t>
      </w:r>
      <w:r>
        <w:t xml:space="preserve"> </w:t>
      </w:r>
      <w:r>
        <w:t xml:space="preserve">ausentismo.</w:t>
      </w:r>
      <w:r>
        <w:t xml:space="preserve"> </w:t>
      </w:r>
      <w:r>
        <w:t xml:space="preserve">Hito: el personal administrativo del piloto opera el sistema sin asistencia</w:t>
      </w:r>
      <w:r>
        <w:t xml:space="preserve"> </w:t>
      </w:r>
      <w:r>
        <w:t xml:space="preserve">del fundador para las tareas diarias.</w:t>
      </w:r>
    </w:p>
    <w:p>
      <w:pPr>
        <w:numPr>
          <w:ilvl w:val="0"/>
          <w:numId w:val="1031"/>
        </w:numPr>
      </w:pPr>
      <w:r>
        <w:t xml:space="preserve">Ajustar los umbrales heurísticos del motor de predicción a partir de los</w:t>
      </w:r>
      <w:r>
        <w:t xml:space="preserve"> </w:t>
      </w:r>
      <w:r>
        <w:t xml:space="preserve">primeros datos reales del piloto.</w:t>
      </w:r>
      <w:r>
        <w:t xml:space="preserve"> </w:t>
      </w:r>
      <w:r>
        <w:t xml:space="preserve">Hito: el score de ausentismo predice correctamente en más del 60 % de los</w:t>
      </w:r>
      <w:r>
        <w:t xml:space="preserve"> </w:t>
      </w:r>
      <w:r>
        <w:t xml:space="preserve">casos (métrica provisional sobre la base de los datos disponibles).</w:t>
      </w:r>
    </w:p>
    <w:p>
      <w:pPr>
        <w:numPr>
          <w:ilvl w:val="0"/>
          <w:numId w:val="1031"/>
        </w:numPr>
      </w:pPr>
      <w:r>
        <w:t xml:space="preserve">Validar la tasa de respuesta por Telegram en el piloto. Si supera el 50 %</w:t>
      </w:r>
      <w:r>
        <w:t xml:space="preserve"> </w:t>
      </w:r>
      <w:r>
        <w:t xml:space="preserve">de confirmaciones efectivas, el canal se considera aceptable para la fase</w:t>
      </w:r>
      <w:r>
        <w:t xml:space="preserve"> </w:t>
      </w:r>
      <w:r>
        <w:t xml:space="preserve">comercial; si no, se adelanta la integración de WhatsApp Business API.</w:t>
      </w:r>
    </w:p>
    <w:p>
      <w:pPr>
        <w:pStyle w:val="FirstParagraph"/>
      </w:pPr>
      <w:r>
        <w:t xml:space="preserve">Acciones comerciales:</w:t>
      </w:r>
    </w:p>
    <w:p>
      <w:pPr>
        <w:numPr>
          <w:ilvl w:val="0"/>
          <w:numId w:val="1032"/>
        </w:numPr>
      </w:pPr>
      <w:r>
        <w:t xml:space="preserve">Documentar el impacto del piloto con datos reales: tasa de ausentismo</w:t>
      </w:r>
      <w:r>
        <w:t xml:space="preserve"> </w:t>
      </w:r>
      <w:r>
        <w:t xml:space="preserve">pre/post adopción del sistema de recordatorios, cantidad de slots de</w:t>
      </w:r>
      <w:r>
        <w:t xml:space="preserve"> </w:t>
      </w:r>
      <w:r>
        <w:t xml:space="preserve">overbooking activados y recuperados. Este informe es el primer activo de</w:t>
      </w:r>
      <w:r>
        <w:t xml:space="preserve"> </w:t>
      </w:r>
      <w:r>
        <w:t xml:space="preserve">ventas verificable.</w:t>
      </w:r>
    </w:p>
    <w:p>
      <w:pPr>
        <w:numPr>
          <w:ilvl w:val="0"/>
          <w:numId w:val="1032"/>
        </w:numPr>
      </w:pPr>
      <w:r>
        <w:t xml:space="preserve">Presentar el caso de referencia en al menos 2 reuniones con clínicas</w:t>
      </w:r>
      <w:r>
        <w:t xml:space="preserve"> </w:t>
      </w:r>
      <w:r>
        <w:t xml:space="preserve">candidatas en Rosario.</w:t>
      </w:r>
    </w:p>
    <w:p>
      <w:pPr>
        <w:numPr>
          <w:ilvl w:val="0"/>
          <w:numId w:val="1032"/>
        </w:numPr>
      </w:pPr>
      <w:r>
        <w:t xml:space="preserve">Incorporar entre 1 y 2 clínicas adicionales al piloto en la misma modalidad</w:t>
      </w:r>
      <w:r>
        <w:t xml:space="preserve"> </w:t>
      </w:r>
      <w:r>
        <w:t xml:space="preserve">sin costo.</w:t>
      </w:r>
    </w:p>
    <w:p>
      <w:pPr>
        <w:pStyle w:val="FirstParagraph"/>
      </w:pPr>
      <w:r>
        <w:t xml:space="preserve">Indicadores de la fase:</w:t>
      </w:r>
    </w:p>
    <w:p>
      <w:pPr>
        <w:numPr>
          <w:ilvl w:val="0"/>
          <w:numId w:val="1033"/>
        </w:numPr>
        <w:pStyle w:val="Compact"/>
      </w:pPr>
      <w:r>
        <w:t xml:space="preserve">Frontend operativo y usado por al menos 1 piloto activo.</w:t>
      </w:r>
    </w:p>
    <w:p>
      <w:pPr>
        <w:numPr>
          <w:ilvl w:val="0"/>
          <w:numId w:val="1033"/>
        </w:numPr>
        <w:pStyle w:val="Compact"/>
      </w:pPr>
      <w:r>
        <w:t xml:space="preserve">Primer reporte de impacto sobre ausentismo con datos reales.</w:t>
      </w:r>
    </w:p>
    <w:p>
      <w:pPr>
        <w:numPr>
          <w:ilvl w:val="0"/>
          <w:numId w:val="1033"/>
        </w:numPr>
        <w:pStyle w:val="Compact"/>
      </w:pPr>
      <w:r>
        <w:t xml:space="preserve">Entre 2 y 3 clínicas piloto activas al cierre de noviembre de 2026.</w:t>
      </w:r>
    </w:p>
    <w:p>
      <w:pPr>
        <w:pStyle w:val="FirstParagraph"/>
      </w:pPr>
      <w:r>
        <w:t xml:space="preserve">FASE 3 — Transición a ingresos (diciembre 2026 – junio 2027)</w:t>
      </w:r>
    </w:p>
    <w:p>
      <w:pPr>
        <w:pStyle w:val="BodyText"/>
      </w:pPr>
      <w:r>
        <w:t xml:space="preserve">El punto de equilibrio operativo estimado se alcanza entre 12 y 18 clínicas</w:t>
      </w:r>
      <w:r>
        <w:t xml:space="preserve"> </w:t>
      </w:r>
      <w:r>
        <w:t xml:space="preserve">suscriptas en plan base (USD 35–50 por clínica/mes), con costos fijos</w:t>
      </w:r>
      <w:r>
        <w:t xml:space="preserve"> </w:t>
      </w:r>
      <w:r>
        <w:t xml:space="preserve">consolidados en torno a USD 50 mensuales. A ese nivel de escala, los ingresos</w:t>
      </w:r>
      <w:r>
        <w:t xml:space="preserve"> </w:t>
      </w:r>
      <w:r>
        <w:t xml:space="preserve">cubren los costos operativos sin financiamiento externo. La evidencia empírica en</w:t>
      </w:r>
      <w:r>
        <w:t xml:space="preserve"> </w:t>
      </w:r>
      <w:r>
        <w:t xml:space="preserve">SaaS B2B de salud indica que el ciclo de ventas en segmentos de clínicas pequeñas</w:t>
      </w:r>
      <w:r>
        <w:t xml:space="preserve"> </w:t>
      </w:r>
      <w:r>
        <w:t xml:space="preserve">es significativamente más corto que en hospitales —semanas en lugar de meses—</w:t>
      </w:r>
      <w:r>
        <w:t xml:space="preserve"> </w:t>
      </w:r>
      <w:r>
        <w:t xml:space="preserve">cuando el argumento se apoya en casos de referencia con impacto medible (Bessemer</w:t>
      </w:r>
      <w:r>
        <w:t xml:space="preserve"> </w:t>
      </w:r>
      <w:r>
        <w:t xml:space="preserve">Venture Partners, 2024).</w:t>
      </w:r>
    </w:p>
    <w:p>
      <w:pPr>
        <w:pStyle w:val="BodyText"/>
      </w:pPr>
      <w:r>
        <w:t xml:space="preserve">Acciones técnicas:</w:t>
      </w:r>
    </w:p>
    <w:p>
      <w:pPr>
        <w:numPr>
          <w:ilvl w:val="0"/>
          <w:numId w:val="1034"/>
        </w:numPr>
      </w:pPr>
      <w:r>
        <w:t xml:space="preserve">Preparar el proceso de onboarding autoasistido: guía de migración de datos</w:t>
      </w:r>
      <w:r>
        <w:t xml:space="preserve"> </w:t>
      </w:r>
      <w:r>
        <w:t xml:space="preserve">desde planillas, documentación de usuario y video de incorporación, reduciendo</w:t>
      </w:r>
      <w:r>
        <w:t xml:space="preserve"> </w:t>
      </w:r>
      <w:r>
        <w:t xml:space="preserve">la carga de soporte del fundador por cliente nuevo.</w:t>
      </w:r>
    </w:p>
    <w:p>
      <w:pPr>
        <w:numPr>
          <w:ilvl w:val="0"/>
          <w:numId w:val="1034"/>
        </w:numPr>
      </w:pPr>
      <w:r>
        <w:t xml:space="preserve">Implementar el módulo de facturación y gestión de suscripciones.</w:t>
      </w:r>
    </w:p>
    <w:p>
      <w:pPr>
        <w:numPr>
          <w:ilvl w:val="0"/>
          <w:numId w:val="1034"/>
        </w:numPr>
      </w:pPr>
      <w:r>
        <w:t xml:space="preserve">Establecer el proceso de monitoreo de uptime e incidentes en producción.</w:t>
      </w:r>
    </w:p>
    <w:p>
      <w:pPr>
        <w:pStyle w:val="FirstParagraph"/>
      </w:pPr>
      <w:r>
        <w:t xml:space="preserve">Acciones comerciales:</w:t>
      </w:r>
    </w:p>
    <w:p>
      <w:pPr>
        <w:numPr>
          <w:ilvl w:val="0"/>
          <w:numId w:val="1035"/>
        </w:numPr>
      </w:pPr>
      <w:r>
        <w:t xml:space="preserve">Activar la transición de los pilotos al plan pago: oferta de primer mes con</w:t>
      </w:r>
      <w:r>
        <w:t xml:space="preserve"> </w:t>
      </w:r>
      <w:r>
        <w:t xml:space="preserve">descuento como puente desde el piloto gratuito.</w:t>
      </w:r>
    </w:p>
    <w:p>
      <w:pPr>
        <w:numPr>
          <w:ilvl w:val="0"/>
          <w:numId w:val="1035"/>
        </w:numPr>
      </w:pPr>
      <w:r>
        <w:t xml:space="preserve">Iniciar la prospección activa por referidos: solicitar a cada clínica piloto</w:t>
      </w:r>
      <w:r>
        <w:t xml:space="preserve"> </w:t>
      </w:r>
      <w:r>
        <w:t xml:space="preserve">activa la recomendación de 2 contactos dentro de su red profesional.</w:t>
      </w:r>
    </w:p>
    <w:p>
      <w:pPr>
        <w:numPr>
          <w:ilvl w:val="0"/>
          <w:numId w:val="1035"/>
        </w:numPr>
      </w:pPr>
      <w:r>
        <w:t xml:space="preserve">Explorar alianza con al menos una asociación médica o colegio profesional de</w:t>
      </w:r>
      <w:r>
        <w:t xml:space="preserve"> </w:t>
      </w:r>
      <w:r>
        <w:t xml:space="preserve">Rosario como canal de difusión (hipótesis a validar, no acuerdo vigente).</w:t>
      </w:r>
    </w:p>
    <w:p>
      <w:pPr>
        <w:numPr>
          <w:ilvl w:val="0"/>
          <w:numId w:val="1035"/>
        </w:numPr>
      </w:pPr>
      <w:r>
        <w:t xml:space="preserve">Meta de suscriptores al cierre de junio 2027: entre 6 y 12 clínicas activas</w:t>
      </w:r>
      <w:r>
        <w:t xml:space="preserve"> </w:t>
      </w:r>
      <w:r>
        <w:t xml:space="preserve">en plan pago, lo que representa entre el 33 % y el 67 % del punto de</w:t>
      </w:r>
      <w:r>
        <w:t xml:space="preserve"> </w:t>
      </w:r>
      <w:r>
        <w:t xml:space="preserve">equilibrio.</w:t>
      </w:r>
    </w:p>
    <w:p>
      <w:pPr>
        <w:pStyle w:val="FirstParagraph"/>
      </w:pPr>
      <w:r>
        <w:t xml:space="preserve">Acciones de cumplimiento normativo:</w:t>
      </w:r>
    </w:p>
    <w:p>
      <w:pPr>
        <w:numPr>
          <w:ilvl w:val="0"/>
          <w:numId w:val="1036"/>
        </w:numPr>
      </w:pPr>
      <w:r>
        <w:t xml:space="preserve">Formalizar la figura jurídica del emprendimiento para la facturación a</w:t>
      </w:r>
      <w:r>
        <w:t xml:space="preserve"> </w:t>
      </w:r>
      <w:r>
        <w:t xml:space="preserve">clientes (monotributo o sociedad simple, según asesoramiento impositivo).</w:t>
      </w:r>
    </w:p>
    <w:p>
      <w:pPr>
        <w:numPr>
          <w:ilvl w:val="0"/>
          <w:numId w:val="1036"/>
        </w:numPr>
      </w:pPr>
      <w:r>
        <w:t xml:space="preserve">Verificar el cumplimiento de la Ley 25.326 para el tratamiento de datos</w:t>
      </w:r>
      <w:r>
        <w:t xml:space="preserve"> </w:t>
      </w:r>
      <w:r>
        <w:t xml:space="preserve">personales de pacientes, en particular las obligaciones de información,</w:t>
      </w:r>
      <w:r>
        <w:t xml:space="preserve"> </w:t>
      </w:r>
      <w:r>
        <w:t xml:space="preserve">consentimiento y seguridad.</w:t>
      </w:r>
    </w:p>
    <w:p>
      <w:pPr>
        <w:numPr>
          <w:ilvl w:val="0"/>
          <w:numId w:val="1036"/>
        </w:numPr>
      </w:pPr>
      <w:r>
        <w:t xml:space="preserve">Establecer los términos y condiciones del servicio y el acuerdo de</w:t>
      </w:r>
      <w:r>
        <w:t xml:space="preserve"> </w:t>
      </w:r>
      <w:r>
        <w:t xml:space="preserve">procesamiento de datos (DPA) para los clientes.</w:t>
      </w:r>
    </w:p>
    <w:p>
      <w:pPr>
        <w:pStyle w:val="FirstParagraph"/>
      </w:pPr>
      <w:r>
        <w:t xml:space="preserve">Indicadores de la fase:</w:t>
      </w:r>
    </w:p>
    <w:p>
      <w:pPr>
        <w:numPr>
          <w:ilvl w:val="0"/>
          <w:numId w:val="1037"/>
        </w:numPr>
        <w:pStyle w:val="Compact"/>
      </w:pPr>
      <w:r>
        <w:t xml:space="preserve">Clínicas en plan pago: meta 6–12 al cierre de junio 2027.</w:t>
      </w:r>
    </w:p>
    <w:p>
      <w:pPr>
        <w:numPr>
          <w:ilvl w:val="0"/>
          <w:numId w:val="1037"/>
        </w:numPr>
        <w:pStyle w:val="Compact"/>
      </w:pPr>
      <w:r>
        <w:t xml:space="preserve">Churn mensual objetivo: menor al 5 % (referencia sectorial para SaaS B2B en</w:t>
      </w:r>
      <w:r>
        <w:t xml:space="preserve"> </w:t>
      </w:r>
      <w:r>
        <w:t xml:space="preserve">salud: entre 3,5 % y 7,5 % mensual según We Are Founders, 2026).</w:t>
      </w:r>
    </w:p>
    <w:p>
      <w:pPr>
        <w:numPr>
          <w:ilvl w:val="0"/>
          <w:numId w:val="1037"/>
        </w:numPr>
        <w:pStyle w:val="Compact"/>
      </w:pPr>
      <w:r>
        <w:t xml:space="preserve">Costo de onboarding por cliente: reducción del 50 % respecto del onboarding</w:t>
      </w:r>
      <w:r>
        <w:t xml:space="preserve"> </w:t>
      </w:r>
      <w:r>
        <w:t xml:space="preserve">de los pilotos, a través de documentación y proceso autoasistido.</w:t>
      </w:r>
    </w:p>
    <w:p>
      <w:pPr>
        <w:pStyle w:val="FirstParagraph"/>
      </w:pPr>
      <w:r>
        <w:t xml:space="preserve">TABLA RESUMEN DE HITOS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FHIR R4 completo (6 recursos)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Agosto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desarrollo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de predicción activo (en entorno de prueba)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Agosto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desarrollo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 LLM: resumen historia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Agosto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desarrollo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 LLM: sugerencia CIE-10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Agosto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desarrollo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clínica piloto activa con datos reales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Agosto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Conseguir un piloto real (no asegurado; ver nota)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operativo (agenda + ficha + SOAP)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Octubre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desarrollo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reporte de impacto (datos reales)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Noviembre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un piloto real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2–3 clínicas piloto activas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Noviembre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Conseguir pilotos reales (no asegurado)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de facturación y suscripciones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Diciembre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desarrollo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Transición de pilotos a plan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pilotos reales que transicionar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6–12 clínicas en plan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Conseguir pilotos y convertirlos en clientes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Punto de equilibrio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Junio–agosto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Alcanzar 12–18 clínicas suscriptas</w:t>
            </w:r>
          </w:p>
        </w:tc>
      </w:tr>
    </w:tbl>
    <w:p>
      <w:pPr>
        <w:pStyle w:val="BodyText"/>
      </w:pPr>
      <w:r>
        <w:t xml:space="preserve">Nota: a la fecha de este documento no hay ninguna clínica piloto comprometida</w:t>
      </w:r>
      <w:r>
        <w:t xml:space="preserve"> </w:t>
      </w:r>
      <w:r>
        <w:t xml:space="preserve">—solo conversaciones exploratorias sin acuerdo ni fecha—, por lo que todos los</w:t>
      </w:r>
      <w:r>
        <w:t xml:space="preserve"> </w:t>
      </w:r>
      <w:r>
        <w:t xml:space="preserve">hitos marcados como dependientes de</w:t>
      </w:r>
      <w:r>
        <w:t xml:space="preserve"> </w:t>
      </w:r>
      <w:r>
        <w:t xml:space="preserve">“</w:t>
      </w:r>
      <w:r>
        <w:t xml:space="preserve">conseguir un piloto real</w:t>
      </w:r>
      <w:r>
        <w:t xml:space="preserve">”</w:t>
      </w:r>
      <w:r>
        <w:t xml:space="preserve"> </w:t>
      </w:r>
      <w:r>
        <w:t xml:space="preserve">son objetivos de</w:t>
      </w:r>
      <w:r>
        <w:t xml:space="preserve"> </w:t>
      </w:r>
      <w:r>
        <w:t xml:space="preserve">cronograma, no compromisos en curso. Si el piloto no se concreta en el plazo</w:t>
      </w:r>
      <w:r>
        <w:t xml:space="preserve"> </w:t>
      </w:r>
      <w:r>
        <w:t xml:space="preserve">previsto, el plan de contingencia académico contempla una validación simulada</w:t>
      </w:r>
      <w:r>
        <w:t xml:space="preserve"> </w:t>
      </w:r>
      <w:r>
        <w:t xml:space="preserve">como alternativa (ver 1.2 y 3.3). Los hitos de desarrollo propio (backend,</w:t>
      </w:r>
      <w:r>
        <w:t xml:space="preserve"> </w:t>
      </w:r>
      <w:r>
        <w:t xml:space="preserve">frontend, integraciones LLM) no dependen de esta validación y están bajo</w:t>
      </w:r>
      <w:r>
        <w:t xml:space="preserve"> </w:t>
      </w:r>
      <w:r>
        <w:t xml:space="preserve">control directo del fundador.</w:t>
      </w:r>
    </w:p>
    <w:bookmarkEnd w:id="48"/>
    <w:bookmarkEnd w:id="49"/>
    <w:bookmarkStart w:id="54" w:name="X8a46f277d4aa876ac037c3f0f48cdfb8f06fd38"/>
    <w:p>
      <w:pPr>
        <w:pStyle w:val="Heading1"/>
      </w:pPr>
      <w:r>
        <w:t xml:space="preserve">ANEXO A — USO DE INTELIGENCIA ARTIFICIAL GENERATIVA Y AGENTES ESPECIALIZADOS EN EL PROCESO DE DESARROLLO DE KURIS</w:t>
      </w:r>
    </w:p>
    <w:bookmarkStart w:id="50" w:name="X9b3b6fa751a8679d49fce75f547cd23b067b545"/>
    <w:p>
      <w:pPr>
        <w:pStyle w:val="Heading2"/>
      </w:pPr>
      <w:r>
        <w:t xml:space="preserve">A.1 Contexto y justificación del uso de IA en el proyecto</w:t>
      </w:r>
    </w:p>
    <w:p>
      <w:pPr>
        <w:pStyle w:val="FirstParagraph"/>
      </w:pPr>
      <w:r>
        <w:t xml:space="preserve">Kuris es desarrollado por un único fundador con una disponibilidad real de</w:t>
      </w:r>
      <w:r>
        <w:t xml:space="preserve"> </w:t>
      </w:r>
      <w:r>
        <w:t xml:space="preserve">15 a 20 horas semanales. En este contexto, la incorporación de herramientas</w:t>
      </w:r>
      <w:r>
        <w:t xml:space="preserve"> </w:t>
      </w:r>
      <w:r>
        <w:t xml:space="preserve">de inteligencia artificial generativa en el ciclo de desarrollo no es un</w:t>
      </w:r>
      <w:r>
        <w:t xml:space="preserve"> </w:t>
      </w:r>
      <w:r>
        <w:t xml:space="preserve">atajo metodológico sino una decisión estratégica explícita que amplía la</w:t>
      </w:r>
      <w:r>
        <w:t xml:space="preserve"> </w:t>
      </w:r>
      <w:r>
        <w:t xml:space="preserve">capacidad de ejecución técnica del equipo sin incrementar el costo operativo.</w:t>
      </w:r>
    </w:p>
    <w:p>
      <w:pPr>
        <w:pStyle w:val="BodyText"/>
      </w:pPr>
      <w:r>
        <w:t xml:space="preserve">Esta aproximación está alineada con investigaciones recientes sobre el impacto</w:t>
      </w:r>
      <w:r>
        <w:t xml:space="preserve"> </w:t>
      </w:r>
      <w:r>
        <w:t xml:space="preserve">de los asistentes de código basados en LLM en la productividad del desarrollador</w:t>
      </w:r>
      <w:r>
        <w:t xml:space="preserve"> </w:t>
      </w:r>
      <w:r>
        <w:t xml:space="preserve">individual. Peng et al. (2023) demostraron experimentalmente que el uso de</w:t>
      </w:r>
      <w:r>
        <w:t xml:space="preserve"> </w:t>
      </w:r>
      <w:r>
        <w:t xml:space="preserve">GitHub Copilot aumenta la velocidad de finalización de tareas de codificación</w:t>
      </w:r>
      <w:r>
        <w:t xml:space="preserve"> </w:t>
      </w:r>
      <w:r>
        <w:t xml:space="preserve">en un 55 % respecto del grupo de control; Barke et al. (2023) caracterizaron</w:t>
      </w:r>
      <w:r>
        <w:t xml:space="preserve"> </w:t>
      </w:r>
      <w:r>
        <w:t xml:space="preserve">los patrones de uso efectivo de estos asistentes, diferenciando el modo</w:t>
      </w:r>
      <w:r>
        <w:t xml:space="preserve"> </w:t>
      </w:r>
      <w:r>
        <w:t xml:space="preserve">exploratorio (generación de código nuevo) del modo acelerador (completado de</w:t>
      </w:r>
      <w:r>
        <w:t xml:space="preserve"> </w:t>
      </w:r>
      <w:r>
        <w:t xml:space="preserve">código conocido). El proyecto Kuris incorpora ambos modos de manera deliberada</w:t>
      </w:r>
      <w:r>
        <w:t xml:space="preserve"> </w:t>
      </w:r>
      <w:r>
        <w:t xml:space="preserve">y documentada.</w:t>
      </w:r>
    </w:p>
    <w:p>
      <w:pPr>
        <w:pStyle w:val="BodyText"/>
      </w:pPr>
      <w:r>
        <w:t xml:space="preserve">La decisión de declarar explícitamente el uso de IA en este documento responde</w:t>
      </w:r>
      <w:r>
        <w:t xml:space="preserve"> </w:t>
      </w:r>
      <w:r>
        <w:t xml:space="preserve">a un criterio de transparencia metodológica: las herramientas de IA asisten la</w:t>
      </w:r>
      <w:r>
        <w:t xml:space="preserve"> </w:t>
      </w:r>
      <w:r>
        <w:t xml:space="preserve">implementación, pero las decisiones arquitectónicas, los modelos de dominio, la</w:t>
      </w:r>
      <w:r>
        <w:t xml:space="preserve"> </w:t>
      </w:r>
      <w:r>
        <w:t xml:space="preserve">validación funcional y la responsabilidad sobre el producto final permanecen bajo</w:t>
      </w:r>
      <w:r>
        <w:t xml:space="preserve"> </w:t>
      </w:r>
      <w:r>
        <w:t xml:space="preserve">criterio del autor.</w:t>
      </w:r>
    </w:p>
    <w:bookmarkEnd w:id="50"/>
    <w:bookmarkStart w:id="51" w:name="X73ffe4de10ef630c51fb51a2567396cccddd0bb"/>
    <w:p>
      <w:pPr>
        <w:pStyle w:val="Heading2"/>
      </w:pPr>
      <w:r>
        <w:t xml:space="preserve">A.2 Herramienta principal: Claude Code (Anthropic)</w:t>
      </w:r>
    </w:p>
    <w:p>
      <w:pPr>
        <w:pStyle w:val="FirstParagraph"/>
      </w:pPr>
      <w:r>
        <w:t xml:space="preserve">La herramienta central del ciclo de desarrollo es Claude Code, una interfaz de</w:t>
      </w:r>
      <w:r>
        <w:t xml:space="preserve"> </w:t>
      </w:r>
      <w:r>
        <w:t xml:space="preserve">línea de comandos (CLI) desarrollada por Anthropic que integra un modelo de</w:t>
      </w:r>
      <w:r>
        <w:t xml:space="preserve"> </w:t>
      </w:r>
      <w:r>
        <w:t xml:space="preserve">lenguaje de gran escala directamente en el entorno de trabajo del desarrollador</w:t>
      </w:r>
      <w:r>
        <w:t xml:space="preserve"> </w:t>
      </w:r>
      <w:r>
        <w:t xml:space="preserve">(Anthropic, 2025b). Claude Code opera con acceso al árbol de archivos del</w:t>
      </w:r>
      <w:r>
        <w:t xml:space="preserve"> </w:t>
      </w:r>
      <w:r>
        <w:t xml:space="preserve">repositorio, historial de git, resultados de tests y salida de compilación, lo</w:t>
      </w:r>
      <w:r>
        <w:t xml:space="preserve"> </w:t>
      </w:r>
      <w:r>
        <w:t xml:space="preserve">que le permite entender el contexto real del proyecto en lugar de operar sobre</w:t>
      </w:r>
      <w:r>
        <w:t xml:space="preserve"> </w:t>
      </w:r>
      <w:r>
        <w:t xml:space="preserve">fragmentos aislados.</w:t>
      </w:r>
    </w:p>
    <w:p>
      <w:pPr>
        <w:pStyle w:val="BodyText"/>
      </w:pPr>
      <w:r>
        <w:t xml:space="preserve">En el contexto de Kuris, Claude Code cumple las siguientes funciones en el flujo</w:t>
      </w:r>
      <w:r>
        <w:t xml:space="preserve"> </w:t>
      </w:r>
      <w:r>
        <w:t xml:space="preserve">de desarrollo:</w:t>
      </w:r>
    </w:p>
    <w:p>
      <w:pPr>
        <w:numPr>
          <w:ilvl w:val="0"/>
          <w:numId w:val="1038"/>
        </w:numPr>
      </w:pPr>
      <w:r>
        <w:t xml:space="preserve">Generación de código estructural (TDD Green): dado un test escrito por el</w:t>
      </w:r>
      <w:r>
        <w:t xml:space="preserve"> </w:t>
      </w:r>
      <w:r>
        <w:t xml:space="preserve">autor en la fase Red (test fallando, sin clase de producción), Claude Code</w:t>
      </w:r>
      <w:r>
        <w:t xml:space="preserve"> </w:t>
      </w:r>
      <w:r>
        <w:t xml:space="preserve">genera la implementación mínima necesaria para que el test pase. El autor</w:t>
      </w:r>
      <w:r>
        <w:t xml:space="preserve"> </w:t>
      </w:r>
      <w:r>
        <w:t xml:space="preserve">verifica el comportamiento y aprueba o corrige antes del commit.</w:t>
      </w:r>
    </w:p>
    <w:p>
      <w:pPr>
        <w:numPr>
          <w:ilvl w:val="0"/>
          <w:numId w:val="1038"/>
        </w:numPr>
      </w:pPr>
      <w:r>
        <w:t xml:space="preserve">Revisión de código y detección de inconsistencias: antes de cada commit,</w:t>
      </w:r>
      <w:r>
        <w:t xml:space="preserve"> </w:t>
      </w:r>
      <w:r>
        <w:t xml:space="preserve">Claude Code revisa el diff completo contra los estándares del proyecto</w:t>
      </w:r>
      <w:r>
        <w:t xml:space="preserve"> </w:t>
      </w:r>
      <w:r>
        <w:t xml:space="preserve">(documentados en CLAUDE.md) y advierte sobre violaciones de convenciones,</w:t>
      </w:r>
      <w:r>
        <w:t xml:space="preserve"> </w:t>
      </w:r>
      <w:r>
        <w:t xml:space="preserve">anti-patrones identificados o inconsistencias con decisiones arquitectónicas</w:t>
      </w:r>
      <w:r>
        <w:t xml:space="preserve"> </w:t>
      </w:r>
      <w:r>
        <w:t xml:space="preserve">previas (ADRs).</w:t>
      </w:r>
    </w:p>
    <w:p>
      <w:pPr>
        <w:numPr>
          <w:ilvl w:val="0"/>
          <w:numId w:val="1038"/>
        </w:numPr>
      </w:pPr>
      <w:r>
        <w:t xml:space="preserve">Generación de documentación JavaDoc y specs SDD: Claude Code genera el</w:t>
      </w:r>
      <w:r>
        <w:t xml:space="preserve"> </w:t>
      </w:r>
      <w:r>
        <w:t xml:space="preserve">esqueleto de documentación técnica (JavaDoc, especificaciones de casos de uso)</w:t>
      </w:r>
      <w:r>
        <w:t xml:space="preserve"> </w:t>
      </w:r>
      <w:r>
        <w:t xml:space="preserve">que el autor completa y valida.</w:t>
      </w:r>
    </w:p>
    <w:p>
      <w:pPr>
        <w:numPr>
          <w:ilvl w:val="0"/>
          <w:numId w:val="1038"/>
        </w:numPr>
      </w:pPr>
      <w:r>
        <w:t xml:space="preserve">Refactorización guiada: en la fase Refactor del ciclo TDD, Claude Code propone</w:t>
      </w:r>
      <w:r>
        <w:t xml:space="preserve"> </w:t>
      </w:r>
      <w:r>
        <w:t xml:space="preserve">simplificaciones, detecta código duplicado y sugiere extracciones, manteniendo</w:t>
      </w:r>
      <w:r>
        <w:t xml:space="preserve"> </w:t>
      </w:r>
      <w:r>
        <w:t xml:space="preserve">los tests en verde como condición de aceptación.</w:t>
      </w:r>
    </w:p>
    <w:bookmarkEnd w:id="51"/>
    <w:bookmarkStart w:id="52" w:name="X61521e0c52538130ac951968692b55b45a1ca10"/>
    <w:p>
      <w:pPr>
        <w:pStyle w:val="Heading2"/>
      </w:pPr>
      <w:r>
        <w:t xml:space="preserve">A.3 Integración con la metodología ICONIX + SDD + TDD</w:t>
      </w:r>
    </w:p>
    <w:p>
      <w:pPr>
        <w:pStyle w:val="FirstParagraph"/>
      </w:pPr>
      <w:r>
        <w:t xml:space="preserve">El uso de IA se integra de forma explícita en el flujo de trabajo del proyecto,</w:t>
      </w:r>
      <w:r>
        <w:t xml:space="preserve"> </w:t>
      </w:r>
      <w:r>
        <w:t xml:space="preserve">que combina las metodologías ICONIX (para el análisis orientado a objetos),</w:t>
      </w:r>
      <w:r>
        <w:t xml:space="preserve"> </w:t>
      </w:r>
      <w:r>
        <w:t xml:space="preserve">SDD (Specification-Driven Development, para el diseño previo al código) y TDD</w:t>
      </w:r>
      <w:r>
        <w:t xml:space="preserve"> </w:t>
      </w:r>
      <w:r>
        <w:t xml:space="preserve">(Test-Driven Development, para la implementación):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 metodológico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del desarrollador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de la IA (Claude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Spec SDD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Redacta el spec y lo aprueba (APPROVED)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 en la redacción, detecta ambigüedades, propone casos de borde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ADR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la decisión arquitectónica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 contexto sobre trade-offs y precedentes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Diseño de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entidades y agregados DDD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los stubs de clases Java anotadas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TDD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Escribe el test con aserción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Ninguno: el test debe fallar sin intervención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TDD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Aprueba o corrige la implementación generada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el código mínimo de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TDD 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Supervisa y aprueba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Propone simplificaciones, mantiene tests en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y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esqueleto JavaDoc y actualiza módulos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Aprueba el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code-reviewer ejecuta checklist DoD</w:t>
            </w:r>
          </w:p>
        </w:tc>
      </w:tr>
    </w:tbl>
    <w:p>
      <w:pPr>
        <w:pStyle w:val="BodyText"/>
      </w:pPr>
      <w:r>
        <w:t xml:space="preserve">La invariante que rige todo el flujo: la IA no aprueba nada. Toda salida del</w:t>
      </w:r>
      <w:r>
        <w:t xml:space="preserve"> </w:t>
      </w:r>
      <w:r>
        <w:t xml:space="preserve">asistente es propuesta; el desarrollador es quien acepta, rechaza o modifica</w:t>
      </w:r>
      <w:r>
        <w:t xml:space="preserve"> </w:t>
      </w:r>
      <w:r>
        <w:t xml:space="preserve">antes del commit. Esta distinción entre autoría y asistencia es estructural</w:t>
      </w:r>
      <w:r>
        <w:t xml:space="preserve"> </w:t>
      </w:r>
      <w:r>
        <w:t xml:space="preserve">en la metodología del proyecto.</w:t>
      </w:r>
    </w:p>
    <w:bookmarkEnd w:id="52"/>
    <w:bookmarkStart w:id="53" w:name="a.4-límites-explícitos-del-uso-de-ia"/>
    <w:p>
      <w:pPr>
        <w:pStyle w:val="Heading2"/>
      </w:pPr>
      <w:r>
        <w:t xml:space="preserve">A.4 Límites explícitos del uso de IA</w:t>
      </w:r>
    </w:p>
    <w:p>
      <w:pPr>
        <w:pStyle w:val="FirstParagraph"/>
      </w:pPr>
      <w:r>
        <w:t xml:space="preserve">Para evitar la degradación de la calidad del producto y mantener la</w:t>
      </w:r>
      <w:r>
        <w:t xml:space="preserve"> </w:t>
      </w:r>
      <w:r>
        <w:t xml:space="preserve">responsabilidad técnica del autor, el proyecto establece límites explícitos</w:t>
      </w:r>
      <w:r>
        <w:t xml:space="preserve"> </w:t>
      </w:r>
      <w:r>
        <w:t xml:space="preserve">sobre lo que la IA no hace:</w:t>
      </w:r>
    </w:p>
    <w:p>
      <w:pPr>
        <w:numPr>
          <w:ilvl w:val="0"/>
          <w:numId w:val="1039"/>
        </w:numPr>
        <w:pStyle w:val="Compact"/>
      </w:pPr>
      <w:r>
        <w:t xml:space="preserve">No decide la arquitectura: las decisiones de diseño están documentadas en ADRs</w:t>
      </w:r>
      <w:r>
        <w:t xml:space="preserve"> </w:t>
      </w:r>
      <w:r>
        <w:t xml:space="preserve">firmados por el autor; la IA puede proponer alternativas pero no toma la</w:t>
      </w:r>
      <w:r>
        <w:t xml:space="preserve"> </w:t>
      </w:r>
      <w:r>
        <w:t xml:space="preserve">decisión final.</w:t>
      </w:r>
    </w:p>
    <w:p>
      <w:pPr>
        <w:numPr>
          <w:ilvl w:val="0"/>
          <w:numId w:val="1039"/>
        </w:numPr>
        <w:pStyle w:val="Compact"/>
      </w:pPr>
      <w:r>
        <w:t xml:space="preserve">No escribe tests: los casos de prueba son responsabilidad del autor, ya que</w:t>
      </w:r>
      <w:r>
        <w:t xml:space="preserve"> </w:t>
      </w:r>
      <w:r>
        <w:t xml:space="preserve">son la especificación ejecutable del comportamiento esperado. Un test generado</w:t>
      </w:r>
      <w:r>
        <w:t xml:space="preserve"> </w:t>
      </w:r>
      <w:r>
        <w:t xml:space="preserve">por IA podría validar el código incorrecto.</w:t>
      </w:r>
    </w:p>
    <w:p>
      <w:pPr>
        <w:numPr>
          <w:ilvl w:val="0"/>
          <w:numId w:val="1039"/>
        </w:numPr>
        <w:pStyle w:val="Compact"/>
      </w:pPr>
      <w:r>
        <w:t xml:space="preserve">No aprueba PRs: el código generado es revisado por el agente code-reviewer,</w:t>
      </w:r>
      <w:r>
        <w:t xml:space="preserve"> </w:t>
      </w:r>
      <w:r>
        <w:t xml:space="preserve">pero la aprobación del merge es una acción del autor con evidencia de tests</w:t>
      </w:r>
      <w:r>
        <w:t xml:space="preserve"> </w:t>
      </w:r>
      <w:r>
        <w:t xml:space="preserve">pasando.</w:t>
      </w:r>
    </w:p>
    <w:p>
      <w:pPr>
        <w:numPr>
          <w:ilvl w:val="0"/>
          <w:numId w:val="1039"/>
        </w:numPr>
        <w:pStyle w:val="Compact"/>
      </w:pPr>
      <w:r>
        <w:t xml:space="preserve">No valida reglas de negocio del dominio clínico: las decisiones sobre qué</w:t>
      </w:r>
      <w:r>
        <w:t xml:space="preserve"> </w:t>
      </w:r>
      <w:r>
        <w:t xml:space="preserve">constituye un turno válido, cómo se calcula el tope semanal de una obra social</w:t>
      </w:r>
      <w:r>
        <w:t xml:space="preserve"> </w:t>
      </w:r>
      <w:r>
        <w:t xml:space="preserve">o qué factores componen el riesgo de ausentismo son definidas por el autor a</w:t>
      </w:r>
      <w:r>
        <w:t xml:space="preserve"> </w:t>
      </w:r>
      <w:r>
        <w:t xml:space="preserve">partir del análisis del dominio, no generadas por el modelo.</w:t>
      </w:r>
    </w:p>
    <w:bookmarkEnd w:id="53"/>
    <w:bookmarkEnd w:id="54"/>
    <w:bookmarkStart w:id="55" w:name="referencias-apa-7"/>
    <w:p>
      <w:pPr>
        <w:pStyle w:val="Heading1"/>
      </w:pPr>
      <w:r>
        <w:t xml:space="preserve">REFERENCIAS (APA 7)</w:t>
      </w:r>
    </w:p>
    <w:p>
      <w:pPr>
        <w:pStyle w:val="FirstParagraph"/>
      </w:pPr>
      <w:r>
        <w:t xml:space="preserve">Anthropic. (2025a).</w:t>
      </w:r>
      <w:r>
        <w:t xml:space="preserve"> </w:t>
      </w:r>
      <w:r>
        <w:rPr>
          <w:iCs/>
          <w:i/>
        </w:rPr>
        <w:t xml:space="preserve">Claude API documentation</w:t>
      </w:r>
      <w:r>
        <w:t xml:space="preserve">. https://docs.anthropic.com/</w:t>
      </w:r>
    </w:p>
    <w:p>
      <w:pPr>
        <w:pStyle w:val="BodyText"/>
      </w:pPr>
      <w:r>
        <w:t xml:space="preserve">Anthropic. (2025b).</w:t>
      </w:r>
      <w:r>
        <w:t xml:space="preserve"> </w:t>
      </w:r>
      <w:r>
        <w:rPr>
          <w:iCs/>
          <w:i/>
        </w:rPr>
        <w:t xml:space="preserve">Claude Code: CLI for agentic coding</w:t>
      </w:r>
      <w:r>
        <w:t xml:space="preserve">.</w:t>
      </w:r>
      <w:r>
        <w:t xml:space="preserve"> </w:t>
      </w:r>
      <w:r>
        <w:t xml:space="preserve">https://docs.anthropic.com/en/docs/claude-code</w:t>
      </w:r>
    </w:p>
    <w:p>
      <w:pPr>
        <w:pStyle w:val="BodyText"/>
      </w:pPr>
      <w:r>
        <w:t xml:space="preserve">Argentina.gob.ar. (2026, junio).</w:t>
      </w:r>
      <w:r>
        <w:t xml:space="preserve"> </w:t>
      </w:r>
      <w:r>
        <w:rPr>
          <w:iCs/>
          <w:i/>
        </w:rPr>
        <w:t xml:space="preserve">Se realizó encuentro para avanzar en la</w:t>
      </w:r>
      <w:r>
        <w:rPr>
          <w:iCs/>
          <w:i/>
        </w:rPr>
        <w:t xml:space="preserve"> </w:t>
      </w:r>
      <w:r>
        <w:rPr>
          <w:iCs/>
          <w:i/>
        </w:rPr>
        <w:t xml:space="preserve">estrategia de salud digital</w:t>
      </w:r>
      <w:r>
        <w:t xml:space="preserve">. Ministerio de Salud de la Nación Argentina.</w:t>
      </w:r>
      <w:r>
        <w:t xml:space="preserve"> </w:t>
      </w:r>
      <w:r>
        <w:t xml:space="preserve">https://www.argentina.gob.ar/noticias/se-realizo-encuentro-para-avanzar-en-la-estrategia-de-salud-digital</w:t>
      </w:r>
    </w:p>
    <w:p>
      <w:pPr>
        <w:pStyle w:val="BodyText"/>
      </w:pPr>
      <w:r>
        <w:t xml:space="preserve">Argentina.gob.ar. (s. f.).</w:t>
      </w:r>
      <w:r>
        <w:t xml:space="preserve"> </w:t>
      </w:r>
      <w:r>
        <w:rPr>
          <w:iCs/>
          <w:i/>
        </w:rPr>
        <w:t xml:space="preserve">Estándares de salud digital</w:t>
      </w:r>
      <w:r>
        <w:t xml:space="preserve">. Ministerio de Salud de</w:t>
      </w:r>
      <w:r>
        <w:t xml:space="preserve"> </w:t>
      </w:r>
      <w:r>
        <w:t xml:space="preserve">la Nación Argentina. https://www.argentina.gob.ar/salud/digital/estandares</w:t>
      </w:r>
    </w:p>
    <w:p>
      <w:pPr>
        <w:pStyle w:val="BodyText"/>
      </w:pPr>
      <w:r>
        <w:t xml:space="preserve">Barke, S., James, M. B., &amp; Polikarpova, N. (2023). Grounded copilot: How</w:t>
      </w:r>
      <w:r>
        <w:t xml:space="preserve"> </w:t>
      </w:r>
      <w:r>
        <w:t xml:space="preserve">programmers interact with code-generating models.</w:t>
      </w:r>
      <w:r>
        <w:t xml:space="preserve"> </w:t>
      </w:r>
      <w:r>
        <w:rPr>
          <w:iCs/>
          <w:i/>
        </w:rPr>
        <w:t xml:space="preserve">Proceedings of the ACM on</w:t>
      </w:r>
      <w:r>
        <w:rPr>
          <w:iCs/>
          <w:i/>
        </w:rPr>
        <w:t xml:space="preserve"> </w:t>
      </w:r>
      <w:r>
        <w:rPr>
          <w:iCs/>
          <w:i/>
        </w:rPr>
        <w:t xml:space="preserve">Programming Languages, 7</w:t>
      </w:r>
      <w:r>
        <w:t xml:space="preserve">(OOPSLA1), 1–27.</w:t>
      </w:r>
      <w:r>
        <w:t xml:space="preserve"> </w:t>
      </w:r>
      <w:r>
        <w:t xml:space="preserve">https://doi.org/10.1145/3586030</w:t>
      </w:r>
    </w:p>
    <w:p>
      <w:pPr>
        <w:pStyle w:val="BodyText"/>
      </w:pPr>
      <w:r>
        <w:t xml:space="preserve">Bessemer Venture Partners. (2024).</w:t>
      </w:r>
      <w:r>
        <w:t xml:space="preserve"> </w:t>
      </w:r>
      <w:r>
        <w:rPr>
          <w:iCs/>
          <w:i/>
        </w:rPr>
        <w:t xml:space="preserve">State of health tech 2024</w:t>
      </w:r>
      <w:r>
        <w:t xml:space="preserve">.</w:t>
      </w:r>
      <w:r>
        <w:t xml:space="preserve"> </w:t>
      </w:r>
      <w:r>
        <w:t xml:space="preserve">https://www.bvp.com/atlas/state-of-health-tech-2024</w:t>
      </w:r>
    </w:p>
    <w:p>
      <w:pPr>
        <w:pStyle w:val="BodyText"/>
      </w:pPr>
      <w:r>
        <w:t xml:space="preserve">DriCloud. (2024).</w:t>
      </w:r>
      <w:r>
        <w:t xml:space="preserve"> </w:t>
      </w:r>
      <w:r>
        <w:rPr>
          <w:iCs/>
          <w:i/>
        </w:rPr>
        <w:t xml:space="preserve">Software médico en la nube para gestión clínica</w:t>
      </w:r>
      <w:r>
        <w:t xml:space="preserve">.</w:t>
      </w:r>
      <w:r>
        <w:t xml:space="preserve"> </w:t>
      </w:r>
      <w:r>
        <w:t xml:space="preserve">https://dricloud.com/</w:t>
      </w:r>
    </w:p>
    <w:p>
      <w:pPr>
        <w:pStyle w:val="BodyText"/>
      </w:pPr>
      <w:r>
        <w:t xml:space="preserve">Elation Health. (2024).</w:t>
      </w:r>
      <w:r>
        <w:t xml:space="preserve"> </w:t>
      </w:r>
      <w:r>
        <w:rPr>
          <w:iCs/>
          <w:i/>
        </w:rPr>
        <w:t xml:space="preserve">EHR for independent primary care practices</w:t>
      </w:r>
      <w:r>
        <w:t xml:space="preserve">.</w:t>
      </w:r>
      <w:r>
        <w:t xml:space="preserve"> </w:t>
      </w:r>
      <w:r>
        <w:t xml:space="preserve">https://www.elationhealth.com/</w:t>
      </w:r>
    </w:p>
    <w:p>
      <w:pPr>
        <w:pStyle w:val="BodyText"/>
      </w:pPr>
      <w:r>
        <w:t xml:space="preserve">Geblix. (2024).</w:t>
      </w:r>
      <w:r>
        <w:t xml:space="preserve"> </w:t>
      </w:r>
      <w:r>
        <w:rPr>
          <w:iCs/>
          <w:i/>
        </w:rPr>
        <w:t xml:space="preserve">Análisis del ausentismo en turnos médicos sobre 1,5 millones de</w:t>
      </w:r>
      <w:r>
        <w:rPr>
          <w:iCs/>
          <w:i/>
        </w:rPr>
        <w:t xml:space="preserve"> </w:t>
      </w:r>
      <w:r>
        <w:rPr>
          <w:iCs/>
          <w:i/>
        </w:rPr>
        <w:t xml:space="preserve">turnos en Argentina, Uruguay, Chile, Perú y México</w:t>
      </w:r>
      <w:r>
        <w:t xml:space="preserve">.</w:t>
      </w:r>
      <w:r>
        <w:t xml:space="preserve"> </w:t>
      </w:r>
      <w:r>
        <w:t xml:space="preserve">https://blog.geblix.com/ausentismo-data-science-analisis</w:t>
      </w:r>
    </w:p>
    <w:p>
      <w:pPr>
        <w:pStyle w:val="BodyText"/>
      </w:pPr>
      <w:r>
        <w:t xml:space="preserve">Gomes, J., Moura, A., Fonseca, J., &amp; Costa, E. (2022). The impact of SMS and</w:t>
      </w:r>
      <w:r>
        <w:t xml:space="preserve"> </w:t>
      </w:r>
      <w:r>
        <w:t xml:space="preserve">phone call reminders on reducing no-show rates in outpatient medical appointments:</w:t>
      </w:r>
      <w:r>
        <w:t xml:space="preserve"> </w:t>
      </w:r>
      <w:r>
        <w:t xml:space="preserve">A systematic review and meta-analysis.</w:t>
      </w:r>
      <w:r>
        <w:t xml:space="preserve"> </w:t>
      </w:r>
      <w:r>
        <w:rPr>
          <w:iCs/>
          <w:i/>
        </w:rPr>
        <w:t xml:space="preserve">Journal of Medical Systems, 46</w:t>
      </w:r>
      <w:r>
        <w:t xml:space="preserve">(3), 1–12.</w:t>
      </w:r>
      <w:r>
        <w:t xml:space="preserve"> </w:t>
      </w:r>
      <w:r>
        <w:t xml:space="preserve">https://doi.org/10.1007/s10916-022-01794-9</w:t>
      </w:r>
    </w:p>
    <w:p>
      <w:pPr>
        <w:pStyle w:val="BodyText"/>
      </w:pPr>
      <w:r>
        <w:t xml:space="preserve">Grupo Cormos. (2024).</w:t>
      </w:r>
      <w:r>
        <w:t xml:space="preserve"> </w:t>
      </w:r>
      <w:r>
        <w:rPr>
          <w:iCs/>
          <w:i/>
        </w:rPr>
        <w:t xml:space="preserve">Adquisición de Meducar y consolidación del portfolio del</w:t>
      </w:r>
      <w:r>
        <w:rPr>
          <w:iCs/>
          <w:i/>
        </w:rPr>
        <w:t xml:space="preserve"> </w:t>
      </w:r>
      <w:r>
        <w:rPr>
          <w:iCs/>
          <w:i/>
        </w:rPr>
        <w:t xml:space="preserve">mercado local</w:t>
      </w:r>
      <w:r>
        <w:t xml:space="preserve">.</w:t>
      </w:r>
      <w:r>
        <w:t xml:space="preserve"> </w:t>
      </w:r>
      <w:r>
        <w:t xml:space="preserve">https://thepostarg.com/institucionales/grupo-cormos-adquirio-meducar-y-ya-cuenta-con-el-50-de-las-empresas-del-mercado-local/</w:t>
      </w:r>
    </w:p>
    <w:p>
      <w:pPr>
        <w:pStyle w:val="BodyText"/>
      </w:pPr>
      <w:r>
        <w:t xml:space="preserve">HL7 International. (s. f.).</w:t>
      </w:r>
      <w:r>
        <w:t xml:space="preserve"> </w:t>
      </w:r>
      <w:r>
        <w:rPr>
          <w:iCs/>
          <w:i/>
        </w:rPr>
        <w:t xml:space="preserve">HL7 FHIR Release 4 (R4)</w:t>
      </w:r>
      <w:r>
        <w:t xml:space="preserve">. https://hl7.org/fhir/R4/</w:t>
      </w:r>
    </w:p>
    <w:p>
      <w:pPr>
        <w:pStyle w:val="BodyText"/>
      </w:pPr>
      <w:r>
        <w:t xml:space="preserve">Informes de Expertos. (2024).</w:t>
      </w:r>
      <w:r>
        <w:t xml:space="preserve"> </w:t>
      </w:r>
      <w:r>
        <w:rPr>
          <w:iCs/>
          <w:i/>
        </w:rPr>
        <w:t xml:space="preserve">Mercado de salud digital en América Latina: tamaño,</w:t>
      </w:r>
      <w:r>
        <w:rPr>
          <w:iCs/>
          <w:i/>
        </w:rPr>
        <w:t xml:space="preserve"> </w:t>
      </w:r>
      <w:r>
        <w:rPr>
          <w:iCs/>
          <w:i/>
        </w:rPr>
        <w:t xml:space="preserve">participación y crecimiento 2024-2034</w:t>
      </w:r>
      <w:r>
        <w:t xml:space="preserve">.</w:t>
      </w:r>
      <w:r>
        <w:t xml:space="preserve"> </w:t>
      </w:r>
      <w:r>
        <w:t xml:space="preserve">https://www.informesdeexpertos.com/informes/mercado-de-salud-digital-en-america-latina</w:t>
      </w:r>
    </w:p>
    <w:p>
      <w:pPr>
        <w:pStyle w:val="BodyText"/>
      </w:pPr>
      <w:r>
        <w:t xml:space="preserve">Inter-American Development Bank. (s. f.).</w:t>
      </w:r>
      <w:r>
        <w:t xml:space="preserve"> </w:t>
      </w:r>
      <w:r>
        <w:rPr>
          <w:iCs/>
          <w:i/>
        </w:rPr>
        <w:t xml:space="preserve">HAPI FHIR</w:t>
      </w:r>
      <w:r>
        <w:t xml:space="preserve">. IDB Knowledge Open</w:t>
      </w:r>
      <w:r>
        <w:t xml:space="preserve"> </w:t>
      </w:r>
      <w:r>
        <w:t xml:space="preserve">Source Solutions.</w:t>
      </w:r>
      <w:r>
        <w:t xml:space="preserve"> </w:t>
      </w:r>
      <w:r>
        <w:t xml:space="preserve">https://knowledge.iadb.org/en/open-knowledge/code-development/open-source-solution/hapi-fhir</w:t>
      </w:r>
    </w:p>
    <w:p>
      <w:pPr>
        <w:pStyle w:val="BodyText"/>
      </w:pPr>
      <w:r>
        <w:t xml:space="preserve">Kareo / Tebra. (2024).</w:t>
      </w:r>
      <w:r>
        <w:t xml:space="preserve"> </w:t>
      </w:r>
      <w:r>
        <w:rPr>
          <w:iCs/>
          <w:i/>
        </w:rPr>
        <w:t xml:space="preserve">Medical software for independent practices</w:t>
      </w:r>
      <w:r>
        <w:t xml:space="preserve">.</w:t>
      </w:r>
      <w:r>
        <w:t xml:space="preserve"> </w:t>
      </w:r>
      <w:r>
        <w:t xml:space="preserve">https://www.tebra.com/</w:t>
      </w:r>
    </w:p>
    <w:p>
      <w:pPr>
        <w:pStyle w:val="BodyText"/>
      </w:pPr>
      <w:r>
        <w:t xml:space="preserve">Kotler, P., Keller, K. L., Brady, M., Goodman, M., y Hansen, T. (2017).</w:t>
      </w:r>
      <w:r>
        <w:t xml:space="preserve"> </w:t>
      </w:r>
      <w:r>
        <w:rPr>
          <w:iCs/>
          <w:i/>
        </w:rPr>
        <w:t xml:space="preserve">Marketing management</w:t>
      </w:r>
      <w:r>
        <w:t xml:space="preserve"> </w:t>
      </w:r>
      <w:r>
        <w:t xml:space="preserve">(3.ª ed.). Pearson Education.</w:t>
      </w:r>
    </w:p>
    <w:p>
      <w:pPr>
        <w:pStyle w:val="BodyText"/>
      </w:pPr>
      <w:r>
        <w:t xml:space="preserve">Medesk. (2024).</w:t>
      </w:r>
      <w:r>
        <w:t xml:space="preserve"> </w:t>
      </w:r>
      <w:r>
        <w:rPr>
          <w:iCs/>
          <w:i/>
        </w:rPr>
        <w:t xml:space="preserve">Software de gestión para clínicas y consultorios médicos</w:t>
      </w:r>
      <w:r>
        <w:t xml:space="preserve">.</w:t>
      </w:r>
      <w:r>
        <w:t xml:space="preserve"> </w:t>
      </w:r>
      <w:r>
        <w:t xml:space="preserve">https://www.medesk.net/</w:t>
      </w:r>
    </w:p>
    <w:p>
      <w:pPr>
        <w:pStyle w:val="BodyText"/>
      </w:pPr>
      <w:r>
        <w:t xml:space="preserve">Medplum. (2025).</w:t>
      </w:r>
      <w:r>
        <w:t xml:space="preserve"> </w:t>
      </w:r>
      <w:r>
        <w:rPr>
          <w:iCs/>
          <w:i/>
        </w:rPr>
        <w:t xml:space="preserve">FHIR API overview</w:t>
      </w:r>
      <w:r>
        <w:t xml:space="preserve">. https://www.medplum.com/docs/api/fhir</w:t>
      </w:r>
    </w:p>
    <w:p>
      <w:pPr>
        <w:pStyle w:val="BodyText"/>
      </w:pPr>
      <w:r>
        <w:t xml:space="preserve">Ministerio de Salud de la Nación Argentina. (2023).</w:t>
      </w:r>
      <w:r>
        <w:t xml:space="preserve"> </w:t>
      </w:r>
      <w:r>
        <w:rPr>
          <w:iCs/>
          <w:i/>
        </w:rPr>
        <w:t xml:space="preserve">Registro Federal de</w:t>
      </w:r>
      <w:r>
        <w:rPr>
          <w:iCs/>
          <w:i/>
        </w:rPr>
        <w:t xml:space="preserve"> </w:t>
      </w:r>
      <w:r>
        <w:rPr>
          <w:iCs/>
          <w:i/>
        </w:rPr>
        <w:t xml:space="preserve">Establecimientos de Salud (REFES)</w:t>
      </w:r>
      <w:r>
        <w:t xml:space="preserve">.</w:t>
      </w:r>
      <w:r>
        <w:t xml:space="preserve"> </w:t>
      </w:r>
      <w:r>
        <w:t xml:space="preserve">https://datos.gob.ar/dataset/salud-listado-establecimientos-salud-asentados-registro-federal-refes</w:t>
      </w:r>
    </w:p>
    <w:p>
      <w:pPr>
        <w:pStyle w:val="BodyText"/>
      </w:pPr>
      <w:r>
        <w:t xml:space="preserve">Organización Panamericana de la Salud. (2026, junio 5).</w:t>
      </w:r>
      <w:r>
        <w:t xml:space="preserve"> </w:t>
      </w:r>
      <w:r>
        <w:rPr>
          <w:iCs/>
          <w:i/>
        </w:rPr>
        <w:t xml:space="preserve">OPS coopera en la</w:t>
      </w:r>
      <w:r>
        <w:rPr>
          <w:iCs/>
          <w:i/>
        </w:rPr>
        <w:t xml:space="preserve"> </w:t>
      </w:r>
      <w:r>
        <w:rPr>
          <w:iCs/>
          <w:i/>
        </w:rPr>
        <w:t xml:space="preserve">transformación digital en salud pública en Argentina</w:t>
      </w:r>
      <w:r>
        <w:t xml:space="preserve">.</w:t>
      </w:r>
      <w:r>
        <w:t xml:space="preserve"> </w:t>
      </w:r>
      <w:r>
        <w:t xml:space="preserve">https://www.paho.org/es/noticias/5-6-2026-ops-coopera-transformacion-digital-salud-publica-argentina</w:t>
      </w:r>
    </w:p>
    <w:p>
      <w:pPr>
        <w:pStyle w:val="BodyText"/>
      </w:pPr>
      <w:r>
        <w:t xml:space="preserve">Peng, S., Kalliamvakou, E., Cihon, P., &amp; Demirer, M. (2023).</w:t>
      </w:r>
      <w:r>
        <w:t xml:space="preserve"> </w:t>
      </w:r>
      <w:r>
        <w:rPr>
          <w:iCs/>
          <w:i/>
        </w:rPr>
        <w:t xml:space="preserve">The impact of AI</w:t>
      </w:r>
      <w:r>
        <w:rPr>
          <w:iCs/>
          <w:i/>
        </w:rPr>
        <w:t xml:space="preserve"> </w:t>
      </w:r>
      <w:r>
        <w:rPr>
          <w:iCs/>
          <w:i/>
        </w:rPr>
        <w:t xml:space="preserve">on developer productivity: Evidence from GitHub Copilot</w:t>
      </w:r>
      <w:r>
        <w:t xml:space="preserve"> </w:t>
      </w:r>
      <w:r>
        <w:t xml:space="preserve">(arXiv:2302.06590).</w:t>
      </w:r>
      <w:r>
        <w:t xml:space="preserve"> </w:t>
      </w:r>
      <w:r>
        <w:t xml:space="preserve">https://arxiv.org/abs/2302.06590</w:t>
      </w:r>
    </w:p>
    <w:p>
      <w:pPr>
        <w:pStyle w:val="BodyText"/>
      </w:pPr>
      <w:r>
        <w:t xml:space="preserve">Porter, M. E. (1980).</w:t>
      </w:r>
      <w:r>
        <w:t xml:space="preserve"> </w:t>
      </w:r>
      <w:r>
        <w:rPr>
          <w:iCs/>
          <w:i/>
        </w:rPr>
        <w:t xml:space="preserve">Competitive strategy: Techniques for analyzing industries</w:t>
      </w:r>
      <w:r>
        <w:rPr>
          <w:iCs/>
          <w:i/>
        </w:rPr>
        <w:t xml:space="preserve"> </w:t>
      </w:r>
      <w:r>
        <w:rPr>
          <w:iCs/>
          <w:i/>
        </w:rPr>
        <w:t xml:space="preserve">and competitors</w:t>
      </w:r>
      <w:r>
        <w:t xml:space="preserve">. Free Press.</w:t>
      </w:r>
    </w:p>
    <w:p>
      <w:pPr>
        <w:pStyle w:val="BodyText"/>
      </w:pPr>
      <w:r>
        <w:t xml:space="preserve">República Argentina. (2000).</w:t>
      </w:r>
      <w:r>
        <w:t xml:space="preserve"> </w:t>
      </w:r>
      <w:r>
        <w:rPr>
          <w:iCs/>
          <w:i/>
        </w:rPr>
        <w:t xml:space="preserve">Ley 25.326 de Protección de Datos Personales</w:t>
      </w:r>
      <w:r>
        <w:t xml:space="preserve">.</w:t>
      </w:r>
      <w:r>
        <w:t xml:space="preserve"> </w:t>
      </w:r>
      <w:r>
        <w:t xml:space="preserve">Boletín Oficial de la República Argentina.</w:t>
      </w:r>
    </w:p>
    <w:p>
      <w:pPr>
        <w:pStyle w:val="BodyText"/>
      </w:pPr>
      <w:r>
        <w:t xml:space="preserve">República Argentina. (2023).</w:t>
      </w:r>
      <w:r>
        <w:t xml:space="preserve"> </w:t>
      </w:r>
      <w:r>
        <w:rPr>
          <w:iCs/>
          <w:i/>
        </w:rPr>
        <w:t xml:space="preserve">Ley 27.706 de Historia Clínica Electrónica</w:t>
      </w:r>
      <w:r>
        <w:t xml:space="preserve">.</w:t>
      </w:r>
      <w:r>
        <w:t xml:space="preserve"> </w:t>
      </w:r>
      <w:r>
        <w:t xml:space="preserve">Boletín Oficial de la República Argentina.</w:t>
      </w:r>
    </w:p>
    <w:p>
      <w:pPr>
        <w:pStyle w:val="BodyText"/>
      </w:pPr>
      <w:r>
        <w:t xml:space="preserve">SMART Health IT. (s. f.).</w:t>
      </w:r>
      <w:r>
        <w:t xml:space="preserve"> </w:t>
      </w:r>
      <w:r>
        <w:rPr>
          <w:iCs/>
          <w:i/>
        </w:rPr>
        <w:t xml:space="preserve">SMART on FHIR</w:t>
      </w:r>
      <w:r>
        <w:t xml:space="preserve">. https://docs.smarthealthit.org/</w:t>
      </w:r>
    </w:p>
    <w:p>
      <w:pPr>
        <w:pStyle w:val="BodyText"/>
      </w:pPr>
      <w:r>
        <w:t xml:space="preserve">SquadS Ventures. (2025).</w:t>
      </w:r>
      <w:r>
        <w:t xml:space="preserve"> </w:t>
      </w:r>
      <w:r>
        <w:rPr>
          <w:iCs/>
          <w:i/>
        </w:rPr>
        <w:t xml:space="preserve">Empresas B2B SaaS: early exits y modelos alternativos</w:t>
      </w:r>
      <w:r>
        <w:t xml:space="preserve">.</w:t>
      </w:r>
      <w:r>
        <w:t xml:space="preserve"> </w:t>
      </w:r>
      <w:r>
        <w:t xml:space="preserve">https://squads.ventures/empresas-b2b-saas-early-exits/</w:t>
      </w:r>
    </w:p>
    <w:p>
      <w:pPr>
        <w:pStyle w:val="BodyText"/>
      </w:pPr>
      <w:r>
        <w:t xml:space="preserve">Turnito. (2026).</w:t>
      </w:r>
      <w:r>
        <w:t xml:space="preserve"> </w:t>
      </w:r>
      <w:r>
        <w:rPr>
          <w:iCs/>
          <w:i/>
        </w:rPr>
        <w:t xml:space="preserve">Los mejores software de turnos para clínicas en Argentina [2026]</w:t>
      </w:r>
      <w:r>
        <w:t xml:space="preserve">.</w:t>
      </w:r>
      <w:r>
        <w:t xml:space="preserve"> </w:t>
      </w:r>
      <w:r>
        <w:t xml:space="preserve">https://turnito.app/blog/los-mejores-software-de-turnos-para-clinicas-en-argentina-2026/</w:t>
      </w:r>
    </w:p>
    <w:p>
      <w:pPr>
        <w:pStyle w:val="BodyText"/>
      </w:pPr>
      <w:r>
        <w:t xml:space="preserve">We Are Founders. (2026).</w:t>
      </w:r>
      <w:r>
        <w:t xml:space="preserve"> </w:t>
      </w:r>
      <w:r>
        <w:rPr>
          <w:iCs/>
          <w:i/>
        </w:rPr>
        <w:t xml:space="preserve">SaaS churn rates and customer acquisition costs by</w:t>
      </w:r>
      <w:r>
        <w:rPr>
          <w:iCs/>
          <w:i/>
        </w:rPr>
        <w:t xml:space="preserve"> </w:t>
      </w:r>
      <w:r>
        <w:rPr>
          <w:iCs/>
          <w:i/>
        </w:rPr>
        <w:t xml:space="preserve">industry: 2026 benchmarks</w:t>
      </w:r>
      <w:r>
        <w:t xml:space="preserve">.</w:t>
      </w:r>
      <w:r>
        <w:t xml:space="preserve"> </w:t>
      </w:r>
      <w:r>
        <w:t xml:space="preserve">https://www.wearefounders.uk/saas-churn-rates-and-customer-acquisition-costs-by-industry-2025-data/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2024">
    <w:nsid w:val="A99422024"/>
    <w:multiLevelType w:val="multilevel"/>
    <w:lvl w:ilvl="0">
      <w:start w:val="2024"/>
      <w:numFmt w:val="decimal"/>
      <w:lvlText w:val="%1)"/>
      <w:lvlJc w:val="left"/>
      <w:pPr>
        <w:ind w:left="720" w:hanging="480"/>
      </w:pPr>
    </w:lvl>
    <w:lvl w:ilvl="1">
      <w:start w:val="2024"/>
      <w:numFmt w:val="decimal"/>
      <w:lvlText w:val="%2)"/>
      <w:lvlJc w:val="left"/>
      <w:pPr>
        <w:ind w:left="1440" w:hanging="480"/>
      </w:pPr>
    </w:lvl>
    <w:lvl w:ilvl="2">
      <w:start w:val="2024"/>
      <w:numFmt w:val="decimal"/>
      <w:lvlText w:val="%3)"/>
      <w:lvlJc w:val="left"/>
      <w:pPr>
        <w:ind w:left="2160" w:hanging="480"/>
      </w:pPr>
    </w:lvl>
    <w:lvl w:ilvl="3">
      <w:start w:val="2024"/>
      <w:numFmt w:val="decimal"/>
      <w:lvlText w:val="%4)"/>
      <w:lvlJc w:val="left"/>
      <w:pPr>
        <w:ind w:left="2880" w:hanging="480"/>
      </w:pPr>
    </w:lvl>
    <w:lvl w:ilvl="4">
      <w:start w:val="2024"/>
      <w:numFmt w:val="decimal"/>
      <w:lvlText w:val="%5)"/>
      <w:lvlJc w:val="left"/>
      <w:pPr>
        <w:ind w:left="3600" w:hanging="480"/>
      </w:pPr>
    </w:lvl>
    <w:lvl w:ilvl="5">
      <w:start w:val="2024"/>
      <w:numFmt w:val="decimal"/>
      <w:lvlText w:val="%6)"/>
      <w:lvlJc w:val="left"/>
      <w:pPr>
        <w:ind w:left="4320" w:hanging="480"/>
      </w:pPr>
    </w:lvl>
    <w:lvl w:ilvl="6">
      <w:start w:val="2024"/>
      <w:numFmt w:val="decimal"/>
      <w:lvlText w:val="%7)"/>
      <w:lvlJc w:val="left"/>
      <w:pPr>
        <w:ind w:left="5040" w:hanging="480"/>
      </w:pPr>
    </w:lvl>
    <w:lvl w:ilvl="7">
      <w:start w:val="2024"/>
      <w:numFmt w:val="decimal"/>
      <w:lvlText w:val="%8)"/>
      <w:lvlJc w:val="left"/>
      <w:pPr>
        <w:ind w:left="5760" w:hanging="480"/>
      </w:pPr>
    </w:lvl>
    <w:lvl w:ilvl="8">
      <w:start w:val="2024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22024"/>
    <w:lvlOverride w:ilvl="0">
      <w:startOverride w:val="2024"/>
    </w:lvlOverride>
    <w:lvlOverride w:ilvl="1">
      <w:startOverride w:val="2024"/>
    </w:lvlOverride>
    <w:lvlOverride w:ilvl="2">
      <w:startOverride w:val="2024"/>
    </w:lvlOverride>
    <w:lvlOverride w:ilvl="3">
      <w:startOverride w:val="2024"/>
    </w:lvlOverride>
    <w:lvlOverride w:ilvl="4">
      <w:startOverride w:val="2024"/>
    </w:lvlOverride>
    <w:lvlOverride w:ilvl="5">
      <w:startOverride w:val="2024"/>
    </w:lvlOverride>
    <w:lvlOverride w:ilvl="6">
      <w:startOverride w:val="2024"/>
    </w:lvlOverride>
    <w:lvlOverride w:ilvl="7">
      <w:startOverride w:val="2024"/>
    </w:lvlOverride>
    <w:lvlOverride w:ilvl="8">
      <w:startOverride w:val="2024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2026-06-17T13:28:54Z</dcterms:created>
  <dcterms:modified xsi:type="dcterms:W3CDTF">2026-06-17T13:28:54Z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