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48"/>
          <w:szCs w:val="48"/>
          <w:rtl w:val="0"/>
        </w:rPr>
        <w:t xml:space="preserve">Premature Optimization – Deliverable 2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Erik Wright (ecwright)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Julian Monticelli (JulianMonticelli)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Brandon Hedges (brandonhedges82)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Tegpartap Singh (teg-singh)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Nathan Davidson (nathan-davidson) — Scrum Master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https://github.com/JulianMonticelli/1530_Premature_Optimization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November 20 2017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Task Network and User Stories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</w:rPr>
        <w:drawing>
          <wp:inline distB="114300" distT="114300" distL="114300" distR="114300">
            <wp:extent cx="5943600" cy="46482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Nathan Davidson: US 29, US 27 (8 points)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Brandon Hedges: US 24, US 25, US 28 (8 points)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Julian Monticelli: US 23, US 30 (9 points)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Teg Singh: US 31 (8 points)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Erik Wright: US 27, US 26 (8 points)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Point Values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US 29 (special move cards), US 27 (special move card movement), US 26 (special move card graphics), US 24 (special spaces): 4 points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US 31 (save and load), US 23 (timer): 8 points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US 25 (random special spaces): 3 points</w:t>
      </w:r>
    </w:p>
    <w:p w:rsidR="00000000" w:rsidDel="00000000" w:rsidP="00000000" w:rsidRDefault="00000000" w:rsidRPr="00000000">
      <w:pPr>
        <w:contextualSpacing w:val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US 30 (bugfix from previous deliverable), US 28 (static special spaces): 1 point</w:t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>
          <w:rFonts w:ascii="Times New Roman" w:cs="Times New Roman" w:eastAsia="Times New Roman" w:hAnsi="Times New Roman"/>
          <w:b w:val="0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36"/>
          <w:szCs w:val="36"/>
          <w:rtl w:val="0"/>
        </w:rPr>
        <w:t xml:space="preserve">Visual Tests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We used one visual test, for user story 30 (the bugfix user story).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Visual Test for User Story 30: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Test: Click on the deck until a x2 card is drawn, then click and draw a middle card.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Expected Behavior: The middle card replaces the x2 card.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Observed Behavior (prior to fix): The x2 card display remains, and overlays the middle card.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Observed Behavior: The middle card replaces the x2 card.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Visual Test for User Story 26: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Test: Click on the deck until special move cards are drawn.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Expected Behavior: Special move cards match special spaces.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rtl w:val="0"/>
        </w:rPr>
        <w:t xml:space="preserve">Observed Behavior: Special move cards match special spaces.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1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2.png"/></Relationships>
</file>