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18"/>
          <w:szCs w:val="18"/>
        </w:rPr>
        <w:t xml:space="preserve">DESARROLLO — PASARELA DE PAGOS CORPORATIVOS</w:t>
      </w:r>
    </w:p>
    <w:p>
      <w:pPr>
        <w:spacing w:after="200"/>
      </w:pPr>
      <w:r>
        <w:rPr>
          <w:b/>
          <w:bCs/>
          <w:color w:val="1F3864"/>
          <w:sz w:val="40"/>
          <w:szCs w:val="40"/>
        </w:rPr>
        <w:t xml:space="preserve">Facturación y cobro para clientes corporativos (multi-sede / NIT)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EAF0F8" w:val="clear"/>
            <w:tcMar>
              <w:top w:type="dxa" w:w="100"/>
              <w:left w:type="dxa" w:w="120"/>
              <w:bottom w:type="dxa" w:w="100"/>
              <w:right w:type="dxa" w:w="120"/>
            </w:tcMar>
          </w:tcPr>
          <w:p>
            <w:r>
              <w:rPr>
                <w:b/>
                <w:bCs/>
                <w:color w:val="1F3864"/>
                <w:sz w:val="20"/>
                <w:szCs w:val="20"/>
              </w:rPr>
              <w:t xml:space="preserve">Origen</w:t>
            </w:r>
          </w:p>
        </w:tc>
        <w:tc>
          <w:tcPr>
            <w:tcW w:type="dxa" w:w="6900"/>
            <w:tcMar>
              <w:top w:type="dxa" w:w="100"/>
              <w:left w:type="dxa" w:w="120"/>
              <w:bottom w:type="dxa" w:w="100"/>
              <w:right w:type="dxa" w:w="120"/>
            </w:tcMar>
          </w:tcPr>
          <w:p>
            <w:r>
              <w:rPr>
                <w:color w:val="262626"/>
                <w:sz w:val="20"/>
                <w:szCs w:val="20"/>
              </w:rPr>
              <w:t xml:space="preserve">Reunión financiera / operaciones — transcripción automática</w:t>
            </w:r>
          </w:p>
        </w:tc>
      </w:tr>
      <w:tr>
        <w:tc>
          <w:tcPr>
            <w:tcW w:type="dxa" w:w="2500"/>
            <w:shd w:fill="EAF0F8" w:val="clear"/>
            <w:tcMar>
              <w:top w:type="dxa" w:w="100"/>
              <w:left w:type="dxa" w:w="120"/>
              <w:bottom w:type="dxa" w:w="100"/>
              <w:right w:type="dxa" w:w="120"/>
            </w:tcMar>
          </w:tcPr>
          <w:p>
            <w:r>
              <w:rPr>
                <w:b/>
                <w:bCs/>
                <w:color w:val="1F3864"/>
                <w:sz w:val="20"/>
                <w:szCs w:val="20"/>
              </w:rPr>
              <w:t xml:space="preserve">Objetivo del documento</w:t>
            </w:r>
          </w:p>
        </w:tc>
        <w:tc>
          <w:tcPr>
            <w:tcW w:type="dxa" w:w="6900"/>
            <w:tcMar>
              <w:top w:type="dxa" w:w="100"/>
              <w:left w:type="dxa" w:w="120"/>
              <w:bottom w:type="dxa" w:w="100"/>
              <w:right w:type="dxa" w:w="120"/>
            </w:tcMar>
          </w:tcPr>
          <w:p>
            <w:r>
              <w:rPr>
                <w:color w:val="262626"/>
                <w:sz w:val="20"/>
                <w:szCs w:val="20"/>
              </w:rPr>
              <w:t xml:space="preserve">Consolidar tareas, requerimientos y pendientes para el equipo de desarrollo</w:t>
            </w:r>
          </w:p>
        </w:tc>
      </w:tr>
      <w:tr>
        <w:tc>
          <w:tcPr>
            <w:tcW w:type="dxa" w:w="2500"/>
            <w:shd w:fill="EAF0F8" w:val="clear"/>
            <w:tcMar>
              <w:top w:type="dxa" w:w="100"/>
              <w:left w:type="dxa" w:w="120"/>
              <w:bottom w:type="dxa" w:w="100"/>
              <w:right w:type="dxa" w:w="120"/>
            </w:tcMar>
          </w:tcPr>
          <w:p>
            <w:r>
              <w:rPr>
                <w:b/>
                <w:bCs/>
                <w:color w:val="1F3864"/>
                <w:sz w:val="20"/>
                <w:szCs w:val="20"/>
              </w:rPr>
              <w:t xml:space="preserve">Alcance del proyecto</w:t>
            </w:r>
          </w:p>
        </w:tc>
        <w:tc>
          <w:tcPr>
            <w:tcW w:type="dxa" w:w="6900"/>
            <w:tcMar>
              <w:top w:type="dxa" w:w="100"/>
              <w:left w:type="dxa" w:w="120"/>
              <w:bottom w:type="dxa" w:w="100"/>
              <w:right w:type="dxa" w:w="120"/>
            </w:tcMar>
          </w:tcPr>
          <w:p>
            <w:r>
              <w:rPr>
                <w:color w:val="262626"/>
                <w:sz w:val="20"/>
                <w:szCs w:val="20"/>
              </w:rPr>
              <w:t xml:space="preserve">Digitalizar el pago y la facturación corporativa (hoy 100% manual), replicando lo que ya existe para clientes residenciales en la pasarela (SPE)</w:t>
            </w:r>
          </w:p>
        </w:tc>
      </w:tr>
      <w:tr>
        <w:tc>
          <w:tcPr>
            <w:tcW w:type="dxa" w:w="2500"/>
            <w:shd w:fill="EAF0F8" w:val="clear"/>
            <w:tcMar>
              <w:top w:type="dxa" w:w="100"/>
              <w:left w:type="dxa" w:w="120"/>
              <w:bottom w:type="dxa" w:w="100"/>
              <w:right w:type="dxa" w:w="120"/>
            </w:tcMar>
          </w:tcPr>
          <w:p>
            <w:r>
              <w:rPr>
                <w:b/>
                <w:bCs/>
                <w:color w:val="1F3864"/>
                <w:sz w:val="20"/>
                <w:szCs w:val="20"/>
              </w:rPr>
              <w:t xml:space="preserve">Estimado dado en reunión</w:t>
            </w:r>
          </w:p>
        </w:tc>
        <w:tc>
          <w:tcPr>
            <w:tcW w:type="dxa" w:w="6900"/>
            <w:tcMar>
              <w:top w:type="dxa" w:w="100"/>
              <w:left w:type="dxa" w:w="120"/>
              <w:bottom w:type="dxa" w:w="100"/>
              <w:right w:type="dxa" w:w="120"/>
            </w:tcMar>
          </w:tcPr>
          <w:p>
            <w:r>
              <w:rPr>
                <w:color w:val="262626"/>
                <w:sz w:val="20"/>
                <w:szCs w:val="20"/>
              </w:rPr>
              <w:t xml:space="preserve">~2 meses para dejar operativa la primera fase (Órdenes + generación de factura)</w:t>
            </w:r>
          </w:p>
        </w:tc>
      </w:tr>
    </w:tbl>
    <w:p>
      <w:pPr>
        <w:pStyle w:val="Heading1"/>
        <w:pBdr>
          <w:bottom w:val="single" w:color="1F3864" w:sz="6" w:space="4"/>
        </w:pBdr>
        <w:spacing w:after="160" w:before="360"/>
      </w:pPr>
      <w:r>
        <w:rPr>
          <w:b/>
          <w:bCs/>
          <w:color w:val="1F3864"/>
          <w:sz w:val="30"/>
          <w:szCs w:val="30"/>
        </w:rPr>
        <w:t xml:space="preserve">1. Contexto</w:t>
      </w:r>
    </w:p>
    <w:p>
      <w:pPr>
        <w:spacing w:after="140" w:line="300"/>
      </w:pPr>
      <w:r>
        <w:rPr>
          <w:color w:val="262626"/>
          <w:sz w:val="21"/>
          <w:szCs w:val="21"/>
        </w:rPr>
        <w:t xml:space="preserve">Hoy la pasarela de pagos ya funciona para clientes residenciales: el usuario ingresa su número de documento, el sistema (SPE) muestra su(s) suscripción(es) y, al elegir una, muestra el valor de la factura pendiente y lo remite a los métodos de pago disponibles (PSE, y próximamente otros medios como Efecty).</w:t>
      </w:r>
    </w:p>
    <w:p>
      <w:pPr>
        <w:spacing w:after="140" w:line="300"/>
      </w:pPr>
      <w:r>
        <w:rPr>
          <w:color w:val="262626"/>
          <w:sz w:val="21"/>
          <w:szCs w:val="21"/>
        </w:rPr>
        <w:t xml:space="preserve">El objetivo es llevar ese mismo flujo a los clientes corporativos, pero el caso es más complejo porque:</w:t>
      </w:r>
    </w:p>
    <w:p>
      <w:pPr>
        <w:pStyle w:val="ListParagraph"/>
        <w:numPr>
          <w:ilvl w:val="0"/>
          <w:numId w:val="2"/>
        </w:numPr>
        <w:spacing w:after="80" w:line="290"/>
      </w:pPr>
      <w:r>
        <w:rPr>
          <w:color w:val="262626"/>
          <w:sz w:val="21"/>
          <w:szCs w:val="21"/>
        </w:rPr>
        <w:t xml:space="preserve">Un cliente corporativo puede tener muchas sedes y decenas o cientos de suscripciones (ejemplo mencionado: un cliente con más de 40 sedes/suscripciones).</w:t>
      </w:r>
    </w:p>
    <w:p>
      <w:pPr>
        <w:pStyle w:val="ListParagraph"/>
        <w:numPr>
          <w:ilvl w:val="0"/>
          <w:numId w:val="2"/>
        </w:numPr>
        <w:spacing w:after="80" w:line="290"/>
      </w:pPr>
      <w:r>
        <w:rPr>
          <w:color w:val="262626"/>
          <w:sz w:val="21"/>
          <w:szCs w:val="21"/>
        </w:rPr>
        <w:t xml:space="preserve">El corporativo no debe ver ni pagar suscripción por suscripción: debe ver una sola factura consolidada que agrupe todas sus suscripciones/sedes.</w:t>
      </w:r>
    </w:p>
    <w:p>
      <w:pPr>
        <w:pStyle w:val="ListParagraph"/>
        <w:numPr>
          <w:ilvl w:val="0"/>
          <w:numId w:val="2"/>
        </w:numPr>
        <w:spacing w:after="80" w:line="290"/>
      </w:pPr>
      <w:r>
        <w:rPr>
          <w:color w:val="262626"/>
          <w:sz w:val="21"/>
          <w:szCs w:val="21"/>
        </w:rPr>
        <w:t xml:space="preserve">A diferencia del residencial, en SPE no existe hoy la facturación corporativa: la información de facturación para estos clientes se arma manualmente, orden por orden, en hojas de cálculo, y luego se sube a SICO (el motor externo de facturación que genera la factura oficial con QR).</w:t>
      </w:r>
    </w:p>
    <w:p>
      <w:pPr>
        <w:spacing w:after="140" w:line="300"/>
      </w:pPr>
      <w:r>
        <w:rPr>
          <w:color w:val="262626"/>
          <w:sz w:val="21"/>
          <w:szCs w:val="21"/>
        </w:rPr>
        <w:t xml:space="preserve">Conclusión de la reunión: el cuello de botella real no es la pasarela de pagos en sí, sino todo el proceso manual previo (sistema de Órdenes → armado de la interfaz de facturación → carga a SICO) que hoy hace una sola persona revisando caso por caso. Por eso el equipo definió empezar por ahí.</w:t>
      </w:r>
    </w:p>
    <w:p>
      <w:pPr>
        <w:pStyle w:val="Heading1"/>
        <w:pBdr>
          <w:bottom w:val="single" w:color="1F3864" w:sz="6" w:space="4"/>
        </w:pBdr>
        <w:spacing w:after="160" w:before="360"/>
      </w:pPr>
      <w:r>
        <w:rPr>
          <w:b/>
          <w:bCs/>
          <w:color w:val="1F3864"/>
          <w:sz w:val="30"/>
          <w:szCs w:val="30"/>
        </w:rPr>
        <w:t xml:space="preserve">2. Flujo actual (manual) — resumen para desarrollo</w:t>
      </w:r>
    </w:p>
    <w:p>
      <w:pPr>
        <w:spacing w:after="140" w:line="300"/>
      </w:pPr>
      <w:r>
        <w:rPr>
          <w:color w:val="262626"/>
          <w:sz w:val="21"/>
          <w:szCs w:val="21"/>
        </w:rPr>
        <w:t xml:space="preserve">Entender este flujo es clave porque las tareas de desarrollo buscan automatizar/asistir cada uno de estos pasos:</w:t>
      </w:r>
    </w:p>
    <w:p>
      <w:pPr>
        <w:pStyle w:val="ListParagraph"/>
        <w:numPr>
          <w:ilvl w:val="0"/>
          <w:numId w:val="2"/>
        </w:numPr>
        <w:spacing w:after="80" w:line="290"/>
      </w:pPr>
      <w:r>
        <w:rPr>
          <w:color w:val="262626"/>
          <w:sz w:val="21"/>
          <w:szCs w:val="21"/>
        </w:rPr>
        <w:t xml:space="preserve">1. En el sistema de Órdenes se filtran los usuarios “sin facturar” / nuevos del mes (por rango de fechas).</w:t>
      </w:r>
    </w:p>
    <w:p>
      <w:pPr>
        <w:pStyle w:val="ListParagraph"/>
        <w:numPr>
          <w:ilvl w:val="0"/>
          <w:numId w:val="2"/>
        </w:numPr>
        <w:spacing w:after="80" w:line="290"/>
      </w:pPr>
      <w:r>
        <w:rPr>
          <w:color w:val="262626"/>
          <w:sz w:val="21"/>
          <w:szCs w:val="21"/>
        </w:rPr>
        <w:t xml:space="preserve">2. De esos, se identifican cuáles son corporativos y se revisa, orden por orden, la ficha del usuario: valor mensual, fecha de certificación de ingeniería (la fecha real para efectos de cobro, distinta de la fecha de creación de la orden o de la suscripción), y el campo de observaciones (texto libre) donde puede haber condiciones especiales: no cobrar prorrateo, cobro de instalación en cuotas, descuentos, etc.</w:t>
      </w:r>
    </w:p>
    <w:p>
      <w:pPr>
        <w:pStyle w:val="ListParagraph"/>
        <w:numPr>
          <w:ilvl w:val="0"/>
          <w:numId w:val="2"/>
        </w:numPr>
        <w:spacing w:after="80" w:line="290"/>
      </w:pPr>
      <w:r>
        <w:rPr>
          <w:color w:val="262626"/>
          <w:sz w:val="21"/>
          <w:szCs w:val="21"/>
        </w:rPr>
        <w:t xml:space="preserve">3. Para usuarios ya existentes, cualquier novedad (cambio de plan, cambio de usuario, traslado, descuento) también llega como texto libre en observaciones dentro de una orden, sin ningún indicador o notificación de que hubo un cambio; hay que revisar todas las órdenes una por una para detectarlas.</w:t>
      </w:r>
    </w:p>
    <w:p>
      <w:pPr>
        <w:pStyle w:val="ListParagraph"/>
        <w:numPr>
          <w:ilvl w:val="0"/>
          <w:numId w:val="2"/>
        </w:numPr>
        <w:spacing w:after="80" w:line="290"/>
      </w:pPr>
      <w:r>
        <w:rPr>
          <w:color w:val="262626"/>
          <w:sz w:val="21"/>
          <w:szCs w:val="21"/>
        </w:rPr>
        <w:t xml:space="preserve">4. Con esa información se arma manualmente un archivo/interfaz de facturación (número de factura, fecha, concepto, valor) por cada tipo de facturación: F1 (corporativos) y F20 (Mega Red/mayoristas), y separando facturación “mes adelantado” vs “mes vencido”.</w:t>
      </w:r>
    </w:p>
    <w:p>
      <w:pPr>
        <w:pStyle w:val="ListParagraph"/>
        <w:numPr>
          <w:ilvl w:val="0"/>
          <w:numId w:val="2"/>
        </w:numPr>
        <w:spacing w:after="80" w:line="290"/>
      </w:pPr>
      <w:r>
        <w:rPr>
          <w:color w:val="262626"/>
          <w:sz w:val="21"/>
          <w:szCs w:val="21"/>
        </w:rPr>
        <w:t xml:space="preserve">5. Ese archivo se sube a SICO, que es quien genera la factura oficial (con QR, IVA, etc.). SICO solo trabaja por archivo plano; no hay una vía directa/API.</w:t>
      </w:r>
    </w:p>
    <w:p>
      <w:pPr>
        <w:pStyle w:val="ListParagraph"/>
        <w:numPr>
          <w:ilvl w:val="0"/>
          <w:numId w:val="2"/>
        </w:numPr>
        <w:spacing w:after="80" w:line="290"/>
      </w:pPr>
      <w:r>
        <w:rPr>
          <w:color w:val="262626"/>
          <w:sz w:val="21"/>
          <w:szCs w:val="21"/>
        </w:rPr>
        <w:t xml:space="preserve">6. Para clientes mayoristas/revendedores de internet (muchas suscripciones sobre un mismo NIC), hoy se revisa manualmente cuánto facturó cada NIC en SICO.</w:t>
      </w:r>
    </w:p>
    <w:p>
      <w:pPr>
        <w:pStyle w:val="ListParagraph"/>
        <w:numPr>
          <w:ilvl w:val="0"/>
          <w:numId w:val="2"/>
        </w:numPr>
        <w:spacing w:after="80" w:line="290"/>
      </w:pPr>
      <w:r>
        <w:rPr>
          <w:color w:val="262626"/>
          <w:sz w:val="21"/>
          <w:szCs w:val="21"/>
        </w:rPr>
        <w:t xml:space="preserve">7. Para conciliar, se descarga de SICO el reporte general de facturas del corte y, aparte, un reporte de notas crédito — pero este último no indica a qué factura pertenece cada nota, por lo que cruzarlos también es manual.</w:t>
      </w:r>
    </w:p>
    <w:p>
      <w:pPr>
        <w:pStyle w:val="ListParagraph"/>
        <w:numPr>
          <w:ilvl w:val="0"/>
          <w:numId w:val="2"/>
        </w:numPr>
        <w:spacing w:after="80" w:line="290"/>
      </w:pPr>
      <w:r>
        <w:rPr>
          <w:color w:val="262626"/>
          <w:sz w:val="21"/>
          <w:szCs w:val="21"/>
        </w:rPr>
        <w:t xml:space="preserve">8. Todo el seguimiento de gestión de cobro (llamadas, correos de notificación de factura enviados, WhatsApp, estado de cada gestión) se lleva hoy de forma manual/artesanal por el equipo de cartera.</w:t>
      </w:r>
    </w:p>
    <w:p>
      <w:pPr>
        <w:pStyle w:val="Heading1"/>
        <w:pBdr>
          <w:bottom w:val="single" w:color="1F3864" w:sz="6" w:space="4"/>
        </w:pBdr>
        <w:spacing w:after="160" w:before="360"/>
      </w:pPr>
      <w:r>
        <w:rPr>
          <w:b/>
          <w:bCs/>
          <w:color w:val="1F3864"/>
          <w:sz w:val="30"/>
          <w:szCs w:val="30"/>
        </w:rPr>
        <w:t xml:space="preserve">3. Problemas identificados</w:t>
      </w:r>
    </w:p>
    <w:p>
      <w:pPr>
        <w:pStyle w:val="ListParagraph"/>
        <w:numPr>
          <w:ilvl w:val="0"/>
          <w:numId w:val="2"/>
        </w:numPr>
        <w:spacing w:after="80" w:line="290"/>
      </w:pPr>
      <w:r>
        <w:rPr>
          <w:color w:val="262626"/>
          <w:sz w:val="21"/>
          <w:szCs w:val="21"/>
        </w:rPr>
        <w:t xml:space="preserve">Un mismo cliente puede aparecer duplicado (hasta 3 veces) al buscarlo en el sistema de Órdenes.</w:t>
      </w:r>
    </w:p>
    <w:p>
      <w:pPr>
        <w:pStyle w:val="ListParagraph"/>
        <w:numPr>
          <w:ilvl w:val="0"/>
          <w:numId w:val="2"/>
        </w:numPr>
        <w:spacing w:after="80" w:line="290"/>
      </w:pPr>
      <w:r>
        <w:rPr>
          <w:color w:val="262626"/>
          <w:sz w:val="21"/>
          <w:szCs w:val="21"/>
        </w:rPr>
        <w:t xml:space="preserve">Usuarios corporativos antiguos no existen en SPE, así que el sistema de Órdenes los marca como “nuevos” aunque no lo sean, generando confusión y revisión adicional.</w:t>
      </w:r>
    </w:p>
    <w:p>
      <w:pPr>
        <w:pStyle w:val="ListParagraph"/>
        <w:numPr>
          <w:ilvl w:val="0"/>
          <w:numId w:val="2"/>
        </w:numPr>
        <w:spacing w:after="80" w:line="290"/>
      </w:pPr>
      <w:r>
        <w:rPr>
          <w:color w:val="262626"/>
          <w:sz w:val="21"/>
          <w:szCs w:val="21"/>
        </w:rPr>
        <w:t xml:space="preserve">No hay forma de distinguir en Órdenes qué registros pertenecen a SPE y cuáles a Mega Red: todas las órdenes están mezcladas.</w:t>
      </w:r>
    </w:p>
    <w:p>
      <w:pPr>
        <w:pStyle w:val="ListParagraph"/>
        <w:numPr>
          <w:ilvl w:val="0"/>
          <w:numId w:val="2"/>
        </w:numPr>
        <w:spacing w:after="80" w:line="290"/>
      </w:pPr>
      <w:r>
        <w:rPr>
          <w:color w:val="262626"/>
          <w:sz w:val="21"/>
          <w:szCs w:val="21"/>
        </w:rPr>
        <w:t xml:space="preserve">No existe ningún indicador/notificación cuando una suscripción tiene una novedad (cambio de plan, de usuario, traslado, descuento); solo se detecta leyendo observaciones de texto libre orden por orden.</w:t>
      </w:r>
    </w:p>
    <w:p>
      <w:pPr>
        <w:pStyle w:val="ListParagraph"/>
        <w:numPr>
          <w:ilvl w:val="0"/>
          <w:numId w:val="2"/>
        </w:numPr>
        <w:spacing w:after="80" w:line="290"/>
      </w:pPr>
      <w:r>
        <w:rPr>
          <w:color w:val="262626"/>
          <w:sz w:val="21"/>
          <w:szCs w:val="21"/>
        </w:rPr>
        <w:t xml:space="preserve">Las fechas no son confiables de forma uniforme: la única fecha en la que sí se puede confiar para efectos de cobro es la de certificación de ingeniería (salvo que exista una observación comercial que indique explícitamente otra fecha).</w:t>
      </w:r>
    </w:p>
    <w:p>
      <w:pPr>
        <w:pStyle w:val="ListParagraph"/>
        <w:numPr>
          <w:ilvl w:val="0"/>
          <w:numId w:val="2"/>
        </w:numPr>
        <w:spacing w:after="80" w:line="290"/>
      </w:pPr>
      <w:r>
        <w:rPr>
          <w:color w:val="262626"/>
          <w:sz w:val="21"/>
          <w:szCs w:val="21"/>
        </w:rPr>
        <w:t xml:space="preserve">Cuando se cancela una suscripción, hoy se elimina también en Órdenes, perdiendo el histórico; se necesita para casos como solicitudes de copia de contrato.</w:t>
      </w:r>
    </w:p>
    <w:p>
      <w:pPr>
        <w:pStyle w:val="ListParagraph"/>
        <w:numPr>
          <w:ilvl w:val="0"/>
          <w:numId w:val="2"/>
        </w:numPr>
        <w:spacing w:after="80" w:line="290"/>
      </w:pPr>
      <w:r>
        <w:rPr>
          <w:color w:val="262626"/>
          <w:sz w:val="21"/>
          <w:szCs w:val="21"/>
        </w:rPr>
        <w:t xml:space="preserve">El reporte de notas crédito de SICO no muestra a qué número de factura corresponde cada nota, lo que obliga a cruzar manualmente factura por factura.</w:t>
      </w:r>
    </w:p>
    <w:p>
      <w:pPr>
        <w:pStyle w:val="ListParagraph"/>
        <w:numPr>
          <w:ilvl w:val="0"/>
          <w:numId w:val="2"/>
        </w:numPr>
        <w:spacing w:after="80" w:line="290"/>
      </w:pPr>
      <w:r>
        <w:rPr>
          <w:color w:val="262626"/>
          <w:sz w:val="21"/>
          <w:szCs w:val="21"/>
        </w:rPr>
        <w:t xml:space="preserve">Todo el armado del archivo de facturación (F1/F20) es manual y repetitivo: mismo formato cada mes, cambiando solo fecha/concepto/valores según cada caso particular.</w:t>
      </w:r>
    </w:p>
    <w:p>
      <w:pPr>
        <w:pStyle w:val="Heading1"/>
        <w:pBdr>
          <w:bottom w:val="single" w:color="1F3864" w:sz="6" w:space="4"/>
        </w:pBdr>
        <w:spacing w:after="160" w:before="360"/>
      </w:pPr>
      <w:r>
        <w:rPr>
          <w:b/>
          <w:bCs/>
          <w:color w:val="1F3864"/>
          <w:sz w:val="30"/>
          <w:szCs w:val="30"/>
        </w:rPr>
        <w:t xml:space="preserve">4. Tareas / requerimientos para desarrollo</w:t>
      </w:r>
    </w:p>
    <w:p>
      <w:pPr>
        <w:spacing w:after="140" w:line="300"/>
      </w:pPr>
      <w:r>
        <w:rPr>
          <w:color w:val="262626"/>
          <w:sz w:val="21"/>
          <w:szCs w:val="21"/>
        </w:rPr>
        <w:t xml:space="preserve">El equipo acordó abordar el trabajo en fases, empezando por el sistema de Órdenes porque es el paso más pesado y el que más se va a complicar a medida que crezca la cantidad de clientes corporativos.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F3864" w:val="clear"/>
            <w:tcMar>
              <w:top w:type="dxa" w:w="140"/>
              <w:left w:type="dxa" w:w="200"/>
              <w:bottom w:type="dxa" w:w="140"/>
              <w:right w:type="dxa" w:w="200"/>
            </w:tcMar>
          </w:tcPr>
          <w:p>
            <w:r>
              <w:rPr>
                <w:b/>
                <w:bCs/>
                <w:color w:val="FFFFFF"/>
                <w:sz w:val="24"/>
                <w:szCs w:val="24"/>
              </w:rPr>
              <w:t xml:space="preserve">Fase 1 — Sistema de Órdenes (prioridad más alta)</w:t>
            </w:r>
          </w:p>
          <w:p>
            <w:pPr>
              <w:spacing w:before="40"/>
            </w:pPr>
            <w:r>
              <w:rPr>
                <w:i/>
                <w:iCs/>
                <w:color w:val="D6E2F5"/>
                <w:sz w:val="19"/>
                <w:szCs w:val="19"/>
              </w:rPr>
              <w:t xml:space="preserve">Base de todo el proceso; es el punto de partida acordado en la reunión</w:t>
            </w:r>
          </w:p>
        </w:tc>
      </w:tr>
    </w:tbl>
    <w:p>
      <w:pPr>
        <w:spacing w:before="160"/>
      </w:pPr>
    </w:p>
    <w:p>
      <w:pPr>
        <w:pStyle w:val="ListParagraph"/>
        <w:numPr>
          <w:ilvl w:val="0"/>
          <w:numId w:val="3"/>
        </w:numPr>
        <w:spacing w:after="90" w:line="290"/>
      </w:pPr>
      <w:r>
        <w:rPr>
          <w:color w:val="262626"/>
          <w:sz w:val="21"/>
          <w:szCs w:val="21"/>
        </w:rPr>
        <w:t xml:space="preserve">Enlazar/integrar SPE con el sistema de Órdenes para traer automáticamente los datos de la suscripción (NIT, nombre, etc.) sin necesidad de doble digitación manual.</w:t>
      </w:r>
    </w:p>
    <w:p>
      <w:pPr>
        <w:pStyle w:val="ListParagraph"/>
        <w:numPr>
          <w:ilvl w:val="0"/>
          <w:numId w:val="3"/>
        </w:numPr>
        <w:spacing w:after="90" w:line="290"/>
      </w:pPr>
      <w:r>
        <w:rPr>
          <w:color w:val="262626"/>
          <w:sz w:val="21"/>
          <w:szCs w:val="21"/>
        </w:rPr>
        <w:t xml:space="preserve">Unificar la base de usuarios antiguos y nuevos, de forma que un cliente antiguo (que no existe en SPE) no se marque incorrectamente como “nuevo”.</w:t>
      </w:r>
    </w:p>
    <w:p>
      <w:pPr>
        <w:pStyle w:val="ListParagraph"/>
        <w:numPr>
          <w:ilvl w:val="0"/>
          <w:numId w:val="3"/>
        </w:numPr>
        <w:spacing w:after="90" w:line="290"/>
      </w:pPr>
      <w:r>
        <w:rPr>
          <w:color w:val="262626"/>
          <w:sz w:val="21"/>
          <w:szCs w:val="21"/>
        </w:rPr>
        <w:t xml:space="preserve">Agregar una validación al crear una orden: si el usuario ya existe, no permitir/duplicar la creación; si no existe, ofrecer crearlo. Esto debería resolver también el problema de clientes duplicados.</w:t>
      </w:r>
    </w:p>
    <w:p>
      <w:pPr>
        <w:pStyle w:val="ListParagraph"/>
        <w:numPr>
          <w:ilvl w:val="0"/>
          <w:numId w:val="3"/>
        </w:numPr>
        <w:spacing w:after="90" w:line="290"/>
      </w:pPr>
      <w:r>
        <w:rPr>
          <w:color w:val="262626"/>
          <w:sz w:val="21"/>
          <w:szCs w:val="21"/>
        </w:rPr>
        <w:t xml:space="preserve">Agregar un indicador visual/sistema de novedades: cuando una orden trae un cambio (plan, usuario, traslado, descuento, etc.), debe quedar identificado con un estado o etiqueta claro (por concepto/tipo de novedad), en lugar de depender de leer el campo de observaciones en texto libre.</w:t>
      </w:r>
    </w:p>
    <w:p>
      <w:pPr>
        <w:pStyle w:val="ListParagraph"/>
        <w:numPr>
          <w:ilvl w:val="0"/>
          <w:numId w:val="3"/>
        </w:numPr>
        <w:spacing w:after="90" w:line="290"/>
      </w:pPr>
      <w:r>
        <w:rPr>
          <w:color w:val="262626"/>
          <w:sz w:val="21"/>
          <w:szCs w:val="21"/>
        </w:rPr>
        <w:t xml:space="preserve">Agregar una forma de distinguir en la interfaz de Órdenes qué registros son de SPE y cuáles de Mega Red (hoy están mezclados).</w:t>
      </w:r>
    </w:p>
    <w:p>
      <w:pPr>
        <w:pStyle w:val="ListParagraph"/>
        <w:numPr>
          <w:ilvl w:val="0"/>
          <w:numId w:val="3"/>
        </w:numPr>
        <w:spacing w:after="90" w:line="290"/>
      </w:pPr>
      <w:r>
        <w:rPr>
          <w:color w:val="262626"/>
          <w:sz w:val="21"/>
          <w:szCs w:val="21"/>
        </w:rPr>
        <w:t xml:space="preserve">Cambiar el comportamiento de cancelación: al cancelar una suscripción, la orden debe quedar inactiva, no eliminada, para conservar el histórico.</w:t>
      </w:r>
    </w:p>
    <w:p>
      <w:pPr>
        <w:pStyle w:val="ListParagraph"/>
        <w:numPr>
          <w:ilvl w:val="0"/>
          <w:numId w:val="3"/>
        </w:numPr>
        <w:spacing w:after="90" w:line="290"/>
      </w:pPr>
      <w:r>
        <w:rPr>
          <w:color w:val="262626"/>
          <w:sz w:val="21"/>
          <w:szCs w:val="21"/>
        </w:rPr>
        <w:t xml:space="preserve">Evaluar research/definir con el equipo comercial cómo deben registrar las novedades para que lleguen estructuradas al sistema de Órdenes (hoy comercial es quien origina cambios y los reporta de forma libre).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F3864" w:val="clear"/>
            <w:tcMar>
              <w:top w:type="dxa" w:w="140"/>
              <w:left w:type="dxa" w:w="200"/>
              <w:bottom w:type="dxa" w:w="140"/>
              <w:right w:type="dxa" w:w="200"/>
            </w:tcMar>
          </w:tcPr>
          <w:p>
            <w:r>
              <w:rPr>
                <w:b/>
                <w:bCs/>
                <w:color w:val="FFFFFF"/>
                <w:sz w:val="24"/>
                <w:szCs w:val="24"/>
              </w:rPr>
              <w:t xml:space="preserve">Fase 2 — Generación de la factura consolidada</w:t>
            </w:r>
          </w:p>
          <w:p>
            <w:pPr>
              <w:spacing w:before="40"/>
            </w:pPr>
            <w:r>
              <w:rPr>
                <w:i/>
                <w:iCs/>
                <w:color w:val="D6E2F5"/>
                <w:sz w:val="19"/>
                <w:szCs w:val="19"/>
              </w:rPr>
              <w:t xml:space="preserve">Una vez Órdenes esté depurado y confiable</w:t>
            </w:r>
          </w:p>
        </w:tc>
      </w:tr>
    </w:tbl>
    <w:p>
      <w:pPr>
        <w:spacing w:before="160"/>
      </w:pPr>
    </w:p>
    <w:p>
      <w:pPr>
        <w:pStyle w:val="ListParagraph"/>
        <w:numPr>
          <w:ilvl w:val="0"/>
          <w:numId w:val="3"/>
        </w:numPr>
        <w:spacing w:after="90" w:line="290"/>
      </w:pPr>
      <w:r>
        <w:rPr>
          <w:color w:val="262626"/>
          <w:sz w:val="21"/>
          <w:szCs w:val="21"/>
        </w:rPr>
        <w:t xml:space="preserve">Diseñar la interfaz/proceso que consolide, por NIT, todas las sedes/suscripciones del corporativo en una sola factura (en vez de una factura por suscripción).</w:t>
      </w:r>
    </w:p>
    <w:p>
      <w:pPr>
        <w:pStyle w:val="ListParagraph"/>
        <w:numPr>
          <w:ilvl w:val="0"/>
          <w:numId w:val="3"/>
        </w:numPr>
        <w:spacing w:after="90" w:line="290"/>
      </w:pPr>
      <w:r>
        <w:rPr>
          <w:color w:val="262626"/>
          <w:sz w:val="21"/>
          <w:szCs w:val="21"/>
        </w:rPr>
        <w:t xml:space="preserve">Automatizar/asistir el armado del archivo plano de facturación (número de factura, fecha, concepto, valor) que hoy se arma a mano para subir a SICO, para los dos tipos de facturación (F1 corporativos y F20 Mega Red) y los dos cortes (mes adelantado / mes vencido).</w:t>
      </w:r>
    </w:p>
    <w:p>
      <w:pPr>
        <w:pStyle w:val="ListParagraph"/>
        <w:numPr>
          <w:ilvl w:val="0"/>
          <w:numId w:val="3"/>
        </w:numPr>
        <w:spacing w:after="90" w:line="290"/>
      </w:pPr>
      <w:r>
        <w:rPr>
          <w:color w:val="262626"/>
          <w:sz w:val="21"/>
          <w:szCs w:val="21"/>
        </w:rPr>
        <w:t xml:space="preserve">Incluir el manejo de prorrateo e instalación (con sus excepciones vía observación) y de descuentos como parte de las reglas de generación de la factura, en vez de aplicarse a mano cada mes.</w:t>
      </w:r>
    </w:p>
    <w:p>
      <w:pPr>
        <w:pStyle w:val="ListParagraph"/>
        <w:numPr>
          <w:ilvl w:val="0"/>
          <w:numId w:val="3"/>
        </w:numPr>
        <w:spacing w:after="90" w:line="290"/>
      </w:pPr>
      <w:r>
        <w:rPr>
          <w:color w:val="262626"/>
          <w:sz w:val="21"/>
          <w:szCs w:val="21"/>
        </w:rPr>
        <w:t xml:space="preserve">Construir un reporte que traiga automáticamente, por NIC, el total facturado en SICO para clientes mayoristas/revendedores de internet (hoy se revisa manualmente uno por uno).</w:t>
      </w:r>
    </w:p>
    <w:p>
      <w:pPr>
        <w:pStyle w:val="ListParagraph"/>
        <w:numPr>
          <w:ilvl w:val="0"/>
          <w:numId w:val="3"/>
        </w:numPr>
        <w:spacing w:after="90" w:line="290"/>
      </w:pPr>
      <w:r>
        <w:rPr>
          <w:color w:val="262626"/>
          <w:sz w:val="21"/>
          <w:szCs w:val="21"/>
        </w:rPr>
        <w:t xml:space="preserve">Mejorar el reporte de notas crédito de SICO (o el cruce con el reporte de facturas) para que se pueda identificar a qué factura corresponde cada nota, y evitar que facturas ya anuladas/con nota aparezcan como pendientes.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F3864" w:val="clear"/>
            <w:tcMar>
              <w:top w:type="dxa" w:w="140"/>
              <w:left w:type="dxa" w:w="200"/>
              <w:bottom w:type="dxa" w:w="140"/>
              <w:right w:type="dxa" w:w="200"/>
            </w:tcMar>
          </w:tcPr>
          <w:p>
            <w:r>
              <w:rPr>
                <w:b/>
                <w:bCs/>
                <w:color w:val="FFFFFF"/>
                <w:sz w:val="24"/>
                <w:szCs w:val="24"/>
              </w:rPr>
              <w:t xml:space="preserve">Fase 3 — Publicación hacia la pasarela de pagos (SP)</w:t>
            </w:r>
          </w:p>
          <w:p>
            <w:pPr>
              <w:spacing w:before="40"/>
            </w:pPr>
            <w:r>
              <w:rPr>
                <w:i/>
                <w:iCs/>
                <w:color w:val="D6E2F5"/>
                <w:sz w:val="19"/>
                <w:szCs w:val="19"/>
              </w:rPr>
              <w:t xml:space="preserve">Llevar la base de datos de facturación corporativa consolidada hacia la interfaz de pagos</w:t>
            </w:r>
          </w:p>
        </w:tc>
      </w:tr>
    </w:tbl>
    <w:p>
      <w:pPr>
        <w:spacing w:before="160"/>
      </w:pPr>
    </w:p>
    <w:p>
      <w:pPr>
        <w:pStyle w:val="ListParagraph"/>
        <w:numPr>
          <w:ilvl w:val="0"/>
          <w:numId w:val="3"/>
        </w:numPr>
        <w:spacing w:after="90" w:line="290"/>
      </w:pPr>
      <w:r>
        <w:rPr>
          <w:color w:val="262626"/>
          <w:sz w:val="21"/>
          <w:szCs w:val="21"/>
        </w:rPr>
        <w:t xml:space="preserve">Definir la estructura de datos que se debe entregar a la pasarela (NIT, sede/municipio, valor a cobrar, etc.) una vez la factura ya está generada en SICO.</w:t>
      </w:r>
    </w:p>
    <w:p>
      <w:pPr>
        <w:pStyle w:val="ListParagraph"/>
        <w:numPr>
          <w:ilvl w:val="0"/>
          <w:numId w:val="3"/>
        </w:numPr>
        <w:spacing w:after="90" w:line="290"/>
      </w:pPr>
      <w:r>
        <w:rPr>
          <w:color w:val="262626"/>
          <w:sz w:val="21"/>
          <w:szCs w:val="21"/>
        </w:rPr>
        <w:t xml:space="preserve">Replicar para el corporativo el mismo flujo que ya existe para el residencial: el usuario/corporativo consulta por NIT y ve el valor consolidado a pagar, sin necesidad de ver el detalle de cada suscripción.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shd w:fill="1F3864" w:val="clear"/>
            <w:tcMar>
              <w:top w:type="dxa" w:w="140"/>
              <w:left w:type="dxa" w:w="200"/>
              <w:bottom w:type="dxa" w:w="140"/>
              <w:right w:type="dxa" w:w="200"/>
            </w:tcMar>
          </w:tcPr>
          <w:p>
            <w:r>
              <w:rPr>
                <w:b/>
                <w:bCs/>
                <w:color w:val="FFFFFF"/>
                <w:sz w:val="24"/>
                <w:szCs w:val="24"/>
              </w:rPr>
              <w:t xml:space="preserve">Fase 4 — Gestión de cobro (cartera)</w:t>
            </w:r>
          </w:p>
          <w:p>
            <w:pPr>
              <w:spacing w:before="40"/>
            </w:pPr>
            <w:r>
              <w:rPr>
                <w:i/>
                <w:iCs/>
                <w:color w:val="D6E2F5"/>
                <w:sz w:val="19"/>
                <w:szCs w:val="19"/>
              </w:rPr>
              <w:t xml:space="preserve">Mencionada como un punto pendiente importante, a detallar en una siguiente reunión con el equipo de cartera</w:t>
            </w:r>
          </w:p>
        </w:tc>
      </w:tr>
    </w:tbl>
    <w:p>
      <w:pPr>
        <w:spacing w:before="160"/>
      </w:pPr>
    </w:p>
    <w:p>
      <w:pPr>
        <w:pStyle w:val="ListParagraph"/>
        <w:numPr>
          <w:ilvl w:val="0"/>
          <w:numId w:val="3"/>
        </w:numPr>
        <w:spacing w:after="90" w:line="290"/>
      </w:pPr>
      <w:r>
        <w:rPr>
          <w:color w:val="262626"/>
          <w:sz w:val="21"/>
          <w:szCs w:val="21"/>
        </w:rPr>
        <w:t xml:space="preserve">Levantar con el equipo de cartera el detalle de su proceso actual de gestión de cobro (llamadas, correos de notificación de factura, WhatsApp) para diseñar una herramienta que lo sistematice, ya que hoy se lleva de forma manual.</w:t>
      </w:r>
    </w:p>
    <w:p>
      <w:pPr>
        <w:pStyle w:val="Heading1"/>
        <w:pBdr>
          <w:bottom w:val="single" w:color="1F3864" w:sz="6" w:space="4"/>
        </w:pBdr>
        <w:spacing w:after="160" w:before="360"/>
      </w:pPr>
      <w:r>
        <w:rPr>
          <w:b/>
          <w:bCs/>
          <w:color w:val="1F3864"/>
          <w:sz w:val="30"/>
          <w:szCs w:val="30"/>
        </w:rPr>
        <w:t xml:space="preserve">5. Pendientes / puntos abiertos</w:t>
      </w:r>
    </w:p>
    <w:p>
      <w:pPr>
        <w:pStyle w:val="ListParagraph"/>
        <w:numPr>
          <w:ilvl w:val="0"/>
          <w:numId w:val="2"/>
        </w:numPr>
        <w:spacing w:after="80" w:line="290"/>
      </w:pPr>
      <w:r>
        <w:rPr>
          <w:color w:val="262626"/>
          <w:sz w:val="21"/>
          <w:szCs w:val="21"/>
        </w:rPr>
        <w:t xml:space="preserve">Definir con el área comercial un mecanismo para que las novedades (cambios de plan, usuario, traslado, descuentos) lleguen de forma estructurada y notificada, no solo como texto libre en una orden.</w:t>
      </w:r>
    </w:p>
    <w:p>
      <w:pPr>
        <w:pStyle w:val="ListParagraph"/>
        <w:numPr>
          <w:ilvl w:val="0"/>
          <w:numId w:val="2"/>
        </w:numPr>
        <w:spacing w:after="80" w:line="290"/>
      </w:pPr>
      <w:r>
        <w:rPr>
          <w:color w:val="262626"/>
          <w:sz w:val="21"/>
          <w:szCs w:val="21"/>
        </w:rPr>
        <w:t xml:space="preserve">Definir la forma final de identificar corporativos en Órdenes (por código interno, ya que la organización interna actual identifica clientes por código, no por NIT directamente).</w:t>
      </w:r>
    </w:p>
    <w:p>
      <w:pPr>
        <w:pStyle w:val="ListParagraph"/>
        <w:numPr>
          <w:ilvl w:val="0"/>
          <w:numId w:val="2"/>
        </w:numPr>
        <w:spacing w:after="80" w:line="290"/>
      </w:pPr>
      <w:r>
        <w:rPr>
          <w:color w:val="262626"/>
          <w:sz w:val="21"/>
          <w:szCs w:val="21"/>
        </w:rPr>
        <w:t xml:space="preserve">Programar una siguiente reunión, más al detalle, con el equipo de cartera para especificar los requerimientos de la Fase 4 (gestión de cobro).</w:t>
      </w:r>
    </w:p>
    <w:p>
      <w:pPr>
        <w:pStyle w:val="ListParagraph"/>
        <w:numPr>
          <w:ilvl w:val="0"/>
          <w:numId w:val="2"/>
        </w:numPr>
        <w:spacing w:after="80" w:line="290"/>
      </w:pPr>
      <w:r>
        <w:rPr>
          <w:color w:val="262626"/>
          <w:sz w:val="21"/>
          <w:szCs w:val="21"/>
        </w:rPr>
        <w:t xml:space="preserve">Confirmar el mecanismo de identificación cuando un corporativo tenga varios servicios bajo un mismo contrato/código, dado que el número de orden por sí solo no es suficiente para que el cliente lo reconozca (a diferencia de otros sectores donde el cliente sí conoce su número de contrato).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2026-08-19T20:52:37.607Z</dcterms:created>
  <dcterms:modified xsi:type="dcterms:W3CDTF">2026-08-19T20:52:37.619Z</dcterms:modified>
</cp:coreProperties>
</file>

<file path=docProps/custom.xml><?xml version="1.0" encoding="utf-8"?>
<Properties xmlns="http://schemas.openxmlformats.org/officeDocument/2006/custom-properties" xmlns:vt="http://schemas.openxmlformats.org/officeDocument/2006/docPropsVTypes"/>
</file>