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00" w:lineRule="auto"/>
        <w:jc w:val="center"/>
        <w:rPr>
          <w:sz w:val="48"/>
          <w:szCs w:val="48"/>
        </w:rPr>
      </w:pPr>
      <w:bookmarkStart w:colFirst="0" w:colLast="0" w:name="_heading=h.30j0zll" w:id="0"/>
      <w:bookmarkEnd w:id="0"/>
      <w:r w:rsidDel="00000000" w:rsidR="00000000" w:rsidRPr="00000000">
        <w:rPr>
          <w:sz w:val="48"/>
          <w:szCs w:val="48"/>
          <w:rtl w:val="0"/>
        </w:rPr>
        <w:t xml:space="preserve">Diagrama de clases UML</w:t>
      </w:r>
    </w:p>
    <w:p w:rsidR="00000000" w:rsidDel="00000000" w:rsidP="00000000" w:rsidRDefault="00000000" w:rsidRPr="00000000" w14:paraId="00000002">
      <w:pPr>
        <w:jc w:val="center"/>
        <w:rPr>
          <w:sz w:val="10"/>
          <w:szCs w:val="10"/>
        </w:rPr>
      </w:pPr>
      <w:r w:rsidDel="00000000" w:rsidR="00000000" w:rsidRPr="00000000">
        <w:rPr>
          <w:sz w:val="36"/>
          <w:szCs w:val="36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Actualizado: 14 de septiembre de 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 objetivo de este documento es mostrar un breve resumen de los principales elementos de un diagrama de clases, para conocer su sintaxis. 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hd w:fill="cccccc" w:val="clear"/>
        <w:spacing w:after="0" w:before="0" w:lineRule="auto"/>
        <w:rPr>
          <w:b w:val="1"/>
        </w:rPr>
      </w:pPr>
      <w:bookmarkStart w:colFirst="0" w:colLast="0" w:name="_heading=h.3znysh7" w:id="1"/>
      <w:bookmarkEnd w:id="1"/>
      <w:r w:rsidDel="00000000" w:rsidR="00000000" w:rsidRPr="00000000">
        <w:rPr>
          <w:b w:val="1"/>
          <w:rtl w:val="0"/>
        </w:rPr>
        <w:t xml:space="preserve">Clases</w:t>
      </w:r>
    </w:p>
    <w:p w:rsidR="00000000" w:rsidDel="00000000" w:rsidP="00000000" w:rsidRDefault="00000000" w:rsidRPr="00000000" w14:paraId="0000000A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En general, las clases se denotan con tres compartimientos, que permiten especificar el nombre, los atributos y los métodos, como puede verse en la siguiente figura: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52575" cy="885825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Por ejemplo,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center"/>
        <w:rPr/>
      </w:pPr>
      <w:r w:rsidDel="00000000" w:rsidR="00000000" w:rsidRPr="00000000">
        <w:rPr>
          <w:color w:val="252525"/>
          <w:sz w:val="21"/>
          <w:szCs w:val="21"/>
        </w:rPr>
        <w:drawing>
          <wp:inline distB="114300" distT="114300" distL="114300" distR="114300">
            <wp:extent cx="3819525" cy="3467100"/>
            <wp:effectExtent b="0" l="0" r="0" t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Nombre de la clase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clase debe tener el nombre en singular.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seguir el estilo CamelCase, comenzando en Mayúscula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ser una clase abstracta, se debe escribir el nombre en cursiva, o agregar el estereotipo &lt;&lt;abstract&gt;&gt; en el compartimiento del nombre. Lo más común es utilizar la primera forma si estamos trabajando con alguna herramienta de modelado, y utilizar la segunda, si estamos trabajando en papel.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denotan    </w:t>
      </w:r>
      <w:r w:rsidDel="00000000" w:rsidR="00000000" w:rsidRPr="00000000">
        <w:rPr>
          <w:b w:val="1"/>
          <w:rtl w:val="0"/>
        </w:rPr>
        <w:t xml:space="preserve">visibilidad nombre: 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el nombre de los atributos, se debe seguir el estilo CamelCase, comenzando en minúscula.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 indicar, para cada atributo: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 visibilidad: privada (-), protegida (#).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 tipo: Integer, Real, Boolean,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Operaciones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denotan </w:t>
      </w:r>
      <w:r w:rsidDel="00000000" w:rsidR="00000000" w:rsidRPr="00000000">
        <w:rPr>
          <w:b w:val="1"/>
          <w:rtl w:val="0"/>
        </w:rPr>
        <w:t xml:space="preserve"> visibilidad nombre (parámetro: tipo): tipo de retorno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nombre debe seguir el estilo CamelCase, comenzando en minúscula.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parámetros deben tener nombre y tipo, y deben separarse con comas.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indica el tipo del retorno, si devuelve algún valor. Si no retorna nada, no se especifica el retorno.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+​ dashSpacing​ ( ​totalDistance: Integer, spaceLength: Integer​ 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caso que la operación retorne una colección, debe indicarse la multiplicidad de la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+​ obtenerOfertasDelDia​ ():​ ​ Oferta​ [*]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En el caso que las operaciones sean abstractas, se deben anotar en cursiva o con el estereotipo &lt;&lt;abstract&gt;&gt;.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 calcularSueldo ​ (): ​ Real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«​ abstract​ » ​ ​ + ​ calcularSueldo​ ():​ ​ Real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Si se trata de un constructor, debe ser precedido por el estereotipo &lt;&lt;create&gt;&gt;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+ &lt;&lt;create&gt;&gt; createCar(brand: String) : Car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Respecto a la visibilidad de los miembros (atributos y operaciones), recuerde: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Se utiliza visibilidad ​ pública​​ (​ + ​ ) cuando el miembro es accesible a todos los objetos del sistema.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Se utiliza visibilidad ​ protegida (​ # ​ ) cuando el miembro es accesible a las instancias de la clase que lo implementa y de sus subclases.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Se utiliza visibilidad ​ privada (​ - ​ ) cuando el miembro es sólo accesible a las instancias de la clase que lo implementa.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b w:val="1"/>
        </w:rPr>
      </w:pPr>
      <w:bookmarkStart w:colFirst="0" w:colLast="0" w:name="_heading=h.easlx7pfj8f5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hd w:fill="b7b7b7" w:val="clear"/>
        <w:spacing w:after="0" w:before="0" w:lineRule="auto"/>
        <w:rPr>
          <w:b w:val="1"/>
        </w:rPr>
      </w:pPr>
      <w:bookmarkStart w:colFirst="0" w:colLast="0" w:name="_heading=h.ctximue1o1ei" w:id="3"/>
      <w:bookmarkEnd w:id="3"/>
      <w:r w:rsidDel="00000000" w:rsidR="00000000" w:rsidRPr="00000000">
        <w:rPr>
          <w:b w:val="1"/>
          <w:rtl w:val="0"/>
        </w:rPr>
        <w:t xml:space="preserve">Asociaciones</w:t>
      </w:r>
    </w:p>
    <w:p w:rsidR="00000000" w:rsidDel="00000000" w:rsidP="00000000" w:rsidRDefault="00000000" w:rsidRPr="00000000" w14:paraId="00000031">
      <w:pPr>
        <w:spacing w:before="200" w:lineRule="auto"/>
        <w:rPr/>
      </w:pPr>
      <w:r w:rsidDel="00000000" w:rsidR="00000000" w:rsidRPr="00000000">
        <w:rPr>
          <w:rtl w:val="0"/>
        </w:rPr>
        <w:t xml:space="preserve">Los diferentes tipos de asociaciones se denotan con distintos tipos de flechas.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152400</wp:posOffset>
            </wp:positionV>
            <wp:extent cx="952500" cy="733425"/>
            <wp:effectExtent b="0" l="0" r="0" t="0"/>
            <wp:wrapNone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Asociación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Agregación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Composición</w:t>
      </w:r>
    </w:p>
    <w:p w:rsidR="00000000" w:rsidDel="00000000" w:rsidP="00000000" w:rsidRDefault="00000000" w:rsidRPr="00000000" w14:paraId="00000036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Si tenemos una asociación entre dos clases, se debe indicar en los extremos navegables: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nombre del rol.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multiplicidad, salvo que sea 1. Puede ser un número fijo, por ejemplo 4, o puede indicarse que se permiten varios elementos, en ese caso se indica como 0..*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asociación es navegable para uno de los extremos, se debe indicar con la punta de flecha, la clase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la asociación es navegable para los dos extremos, no se debe dibujar la punta de la flecha.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hd w:fill="cccccc" w:val="clear"/>
        <w:spacing w:after="0" w:before="0" w:lineRule="auto"/>
        <w:rPr>
          <w:b w:val="1"/>
        </w:rPr>
      </w:pPr>
      <w:bookmarkStart w:colFirst="0" w:colLast="0" w:name="_heading=h.tzhbju2kz5ap" w:id="4"/>
      <w:bookmarkEnd w:id="4"/>
      <w:r w:rsidDel="00000000" w:rsidR="00000000" w:rsidRPr="00000000">
        <w:rPr>
          <w:b w:val="1"/>
          <w:rtl w:val="0"/>
        </w:rPr>
        <w:t xml:space="preserve">Generalización</w:t>
      </w:r>
    </w:p>
    <w:p w:rsidR="00000000" w:rsidDel="00000000" w:rsidP="00000000" w:rsidRDefault="00000000" w:rsidRPr="00000000" w14:paraId="0000003F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La notación para indicar la relación de generalización es una flecha con la punta triangular, sin relleno, apuntando en dirección a la superclase.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</w:rPr>
        <w:drawing>
          <wp:inline distB="114300" distT="114300" distL="114300" distR="114300">
            <wp:extent cx="1828800" cy="1514475"/>
            <wp:effectExtent b="0" l="0" r="0" t="0"/>
            <wp:docPr id="5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hd w:fill="cccccc" w:val="clear"/>
        <w:spacing w:after="0" w:before="0" w:lineRule="auto"/>
        <w:rPr>
          <w:b w:val="1"/>
        </w:rPr>
      </w:pPr>
      <w:bookmarkStart w:colFirst="0" w:colLast="0" w:name="_heading=h.p00bx5o6259p" w:id="5"/>
      <w:bookmarkEnd w:id="5"/>
      <w:r w:rsidDel="00000000" w:rsidR="00000000" w:rsidRPr="00000000">
        <w:rPr>
          <w:b w:val="1"/>
          <w:rtl w:val="0"/>
        </w:rPr>
        <w:t xml:space="preserve">Interfaces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</w:rPr>
        <w:drawing>
          <wp:inline distB="114300" distT="114300" distL="114300" distR="114300">
            <wp:extent cx="1695450" cy="1647825"/>
            <wp:effectExtent b="0" l="0" r="0" 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La interfaz se denota con el estereotipo &lt;&lt;interface&gt;&gt;.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nombre debe denotarse en cursiva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métodos de la interface son públicos y abstractos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 relación con la clase que la implementa, se representa con una flecha sin relleno y línea punteada, apuntando en dirección a la interfaz.</w:t>
      </w:r>
    </w:p>
    <w:sectPr>
      <w:headerReference r:id="rId12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Style w:val="Title"/>
      <w:ind w:left="2160" w:firstLine="0"/>
      <w:jc w:val="center"/>
      <w:rPr/>
    </w:pPr>
    <w:bookmarkStart w:colFirst="0" w:colLast="0" w:name="_heading=h.3dy6vkm" w:id="6"/>
    <w:bookmarkEnd w:id="6"/>
    <w:r w:rsidDel="00000000" w:rsidR="00000000" w:rsidRPr="00000000">
      <w:rPr/>
      <w:drawing>
        <wp:inline distB="114300" distT="114300" distL="114300" distR="114300">
          <wp:extent cx="4033838" cy="723678"/>
          <wp:effectExtent b="0" l="0" r="0" t="0"/>
          <wp:docPr id="5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33838" cy="7236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d+Ekymb94xIS174EZC6Y8Oq2g==">CgMxLjAyCWguMzBqMHpsbDIJaC4zem55c2g3Mg5oLmVhc2x4N3BmajhmNTIOaC5jdHhpbXVlMW8xZWkyDmgudHpoYmp1Mmt6NWFwMg5oLnAwMGJ4NW82MjU5cDIJaC4zZHk2dmttOAByITFBY0dhT19PQkpwS0lLTF9COEVmbkJTd05sMWVlU3N4NA==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