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Punto 3: Análisis bayesiano y decisión de financiación</w:t>
      </w:r>
    </w:p>
    <w:p>
      <w:r>
        <w:rPr>
          <w:b/>
        </w:rPr>
        <w:t>Supuestos</w:t>
      </w:r>
    </w:p>
    <w:p>
      <w:pPr>
        <w:pStyle w:val="ListBullet"/>
        <w:jc w:val="both"/>
      </w:pPr>
      <w:r>
        <w:t>El tamaño de efecto observado (Hedges' g) sigue una verosimilitud Normal(δ, SE²).</w:t>
      </w:r>
    </w:p>
    <w:p>
      <w:pPr>
        <w:pStyle w:val="ListBullet"/>
        <w:jc w:val="both"/>
      </w:pPr>
      <w:r>
        <w:t>La previa del efecto verdadero es δ ~ N(0.0, 0.5²), moderada e informativa.</w:t>
      </w:r>
    </w:p>
    <w:p>
      <w:pPr>
        <w:pStyle w:val="ListBullet"/>
        <w:jc w:val="both"/>
      </w:pPr>
      <w:r>
        <w:t>El umbral mínimo educativamente relevante es g = 0.1.</w:t>
      </w:r>
    </w:p>
    <w:p>
      <w:pPr>
        <w:pStyle w:val="ListBullet"/>
        <w:jc w:val="both"/>
      </w:pPr>
      <w:r>
        <w:t>La regla de decisión es financiar si P(δ &gt; 0.1) &gt; 80 %.</w:t>
      </w:r>
    </w:p>
    <w:p>
      <w:pPr>
        <w:pStyle w:val="ListBullet"/>
        <w:jc w:val="both"/>
      </w:pPr>
      <w:r>
        <w:t>El efecto para la población general se calcula como mezcla ponderada por los tamaños muestrales de alta habilidad y regulares, suponiendo independencia entre subgrupos.</w:t>
      </w:r>
    </w:p>
    <w:p>
      <w:r>
        <w:rPr>
          <w:b/>
        </w:rPr>
        <w:t>Resultados posteriores</w:t>
      </w:r>
    </w:p>
    <w:p>
      <w:pPr>
        <w:pStyle w:val="ListBullet"/>
        <w:jc w:val="both"/>
      </w:pPr>
      <w:r>
        <w:t>Alta habilidad: δ ~ N(0.322, 0.077²); P(δ &gt; 0.1) = 99,8 %.</w:t>
      </w:r>
    </w:p>
    <w:p>
      <w:pPr>
        <w:pStyle w:val="ListBullet"/>
        <w:jc w:val="both"/>
      </w:pPr>
      <w:r>
        <w:t>Regular: δ ~ N(-0.463, 0.094²); P(δ &gt; 0.1) ≈ 0 %.</w:t>
      </w:r>
    </w:p>
    <w:p>
      <w:pPr>
        <w:pStyle w:val="ListBullet"/>
        <w:jc w:val="both"/>
      </w:pPr>
      <w:r>
        <w:t>Población mixta: δ ~ N(-0.070, 0.061²); P(δ &gt; 0.1) = 0,26 %.</w:t>
      </w:r>
    </w:p>
    <w:p>
      <w:r>
        <w:rPr>
          <w:b/>
        </w:rPr>
        <w:t>Respuesta al punto 3</w:t>
      </w:r>
    </w:p>
    <w:p>
      <w:pPr>
        <w:jc w:val="both"/>
      </w:pPr>
      <w:r>
        <w:t>Se espera que la iniciativa tenga un efecto positivo, relevante y robusto únicamente cuando se dirige a estudiantes de alta habilidad. Para los estudiantes regulares se espera un efecto negativo de magnitud considerable, y para la población escolar mixta el efecto esperado es cercano a cero y no relevante.</w:t>
      </w:r>
    </w:p>
    <w:p>
      <w:r>
        <w:rPr>
          <w:b/>
        </w:rPr>
        <w:t>Circunstancias para financiar</w:t>
      </w:r>
    </w:p>
    <w:p>
      <w:pPr>
        <w:pStyle w:val="ListBullet"/>
        <w:jc w:val="both"/>
      </w:pPr>
      <w:r>
        <w:t>La iniciativa puede segmentar y atender exclusivamente a estudiantes de alta habilidad.</w:t>
      </w:r>
    </w:p>
    <w:p>
      <w:pPr>
        <w:pStyle w:val="ListBullet"/>
        <w:jc w:val="both"/>
      </w:pPr>
      <w:r>
        <w:t>El costo por estudiante es menor que el valor monetario esperado del beneficio (aproximadamente 0.32 unidades de Hedges' g por participante).</w:t>
      </w:r>
    </w:p>
    <w:p>
      <w:pPr>
        <w:pStyle w:val="ListBullet"/>
        <w:jc w:val="both"/>
      </w:pPr>
      <w:r>
        <w:t>Se acepta que los efectos observados en 1986 son transportables al contexto actual.</w:t>
      </w:r>
    </w:p>
    <w:p>
      <w:pPr>
        <w:pStyle w:val="ListBullet"/>
        <w:jc w:val="both"/>
      </w:pPr>
      <w:r>
        <w:t>Se monitorea el impacto en los estudiantes regulares para evitar externalidades negativas.</w:t>
      </w:r>
    </w:p>
    <w:p>
      <w:pPr>
        <w:pStyle w:val="Heading1"/>
      </w:pPr>
      <w:r>
        <w:t>Question 3: Bayesian analysis and funding decision</w:t>
      </w:r>
    </w:p>
    <w:p>
      <w:r>
        <w:rPr>
          <w:b/>
        </w:rPr>
        <w:t>Assumptions</w:t>
      </w:r>
    </w:p>
    <w:p>
      <w:pPr>
        <w:pStyle w:val="ListBullet"/>
        <w:jc w:val="both"/>
      </w:pPr>
      <w:r>
        <w:t>The observed effect size (Hedges' g) follows a likelihood Normal(δ, SE²).</w:t>
      </w:r>
    </w:p>
    <w:p>
      <w:pPr>
        <w:pStyle w:val="ListBullet"/>
        <w:jc w:val="both"/>
      </w:pPr>
      <w:r>
        <w:t>The prior for the true effect is δ ~ N(0.0, 0.5²), a moderate and informative prior.</w:t>
      </w:r>
    </w:p>
    <w:p>
      <w:pPr>
        <w:pStyle w:val="ListBullet"/>
        <w:jc w:val="both"/>
      </w:pPr>
      <w:r>
        <w:t>The minimum educationally relevant threshold is g = 0.1.</w:t>
      </w:r>
    </w:p>
    <w:p>
      <w:pPr>
        <w:pStyle w:val="ListBullet"/>
        <w:jc w:val="both"/>
      </w:pPr>
      <w:r>
        <w:t>The decision rule is to fund if P(δ &gt; 0.1) &gt; 80 %.</w:t>
      </w:r>
    </w:p>
    <w:p>
      <w:pPr>
        <w:pStyle w:val="ListBullet"/>
        <w:jc w:val="both"/>
      </w:pPr>
      <w:r>
        <w:t>The general-population effect is computed as a sample-size-weighted mixture of the high-ability and regular subgroups, assuming independence between them.</w:t>
      </w:r>
    </w:p>
    <w:p>
      <w:r>
        <w:rPr>
          <w:b/>
        </w:rPr>
        <w:t>Posterior results</w:t>
      </w:r>
    </w:p>
    <w:p>
      <w:pPr>
        <w:pStyle w:val="ListBullet"/>
        <w:jc w:val="both"/>
      </w:pPr>
      <w:r>
        <w:t>High-ability: δ ~ N(0.322, 0.077²); P(δ &gt; 0.1) = 99.8 %.</w:t>
      </w:r>
    </w:p>
    <w:p>
      <w:pPr>
        <w:pStyle w:val="ListBullet"/>
        <w:jc w:val="both"/>
      </w:pPr>
      <w:r>
        <w:t>Regular: δ ~ N(-0.463, 0.094²); P(δ &gt; 0.1) ≈ 0 %.</w:t>
      </w:r>
    </w:p>
    <w:p>
      <w:pPr>
        <w:pStyle w:val="ListBullet"/>
        <w:jc w:val="both"/>
      </w:pPr>
      <w:r>
        <w:t>Mixed population: δ ~ N(-0.070, 0.061²); P(δ &gt; 0.1) = 0.26 %.</w:t>
      </w:r>
    </w:p>
    <w:p>
      <w:r>
        <w:rPr>
          <w:b/>
        </w:rPr>
        <w:t>Answer to question 3</w:t>
      </w:r>
    </w:p>
    <w:p>
      <w:pPr>
        <w:jc w:val="both"/>
      </w:pPr>
      <w:r>
        <w:t>The initiative is expected to have a positive, relevant and robust effect only when targeted at high-ability students. For regular students a negative and sizable effect is expected, and for the overall mixed student population the expected effect is near zero and not relevant.</w:t>
      </w:r>
    </w:p>
    <w:p>
      <w:r>
        <w:rPr>
          <w:b/>
        </w:rPr>
        <w:t>Circumstances for funding</w:t>
      </w:r>
    </w:p>
    <w:p>
      <w:pPr>
        <w:pStyle w:val="ListBullet"/>
        <w:jc w:val="both"/>
      </w:pPr>
      <w:r>
        <w:t>The initiative can segment and serve high-ability students exclusively.</w:t>
      </w:r>
    </w:p>
    <w:p>
      <w:pPr>
        <w:pStyle w:val="ListBullet"/>
        <w:jc w:val="both"/>
      </w:pPr>
      <w:r>
        <w:t>The cost per student is lower than the expected monetary benefit (approximately 0.32 Hedges' g units per participant).</w:t>
      </w:r>
    </w:p>
    <w:p>
      <w:pPr>
        <w:pStyle w:val="ListBullet"/>
        <w:jc w:val="both"/>
      </w:pPr>
      <w:r>
        <w:t>The effects observed in 1986 are assumed to be transportable to the current context.</w:t>
      </w:r>
    </w:p>
    <w:p>
      <w:pPr>
        <w:pStyle w:val="ListBullet"/>
        <w:jc w:val="both"/>
      </w:pPr>
      <w:r>
        <w:t>Impact on regular students is monitored to avoid negative externalities.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