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Plan de análisis predictivo para el ERP</w:t>
      </w:r>
    </w:p>
    <w:p>
      <w:pPr>
        <w:spacing w:after="320"/>
      </w:pPr>
      <w:r>
        <w:rPr>
          <w:color w:val="465A73"/>
          <w:sz w:val="22"/>
        </w:rPr>
        <w:t>Hoja de ruta para producción, inventario, calidad, mantenimiento, finanzas y planeación</w:t>
      </w:r>
    </w:p>
    <w:p>
      <w:r>
        <w:t>Este documento define cómo evolucionar el ERP hacia un sistema que no solo registre operaciones, sino que anticipe riesgos, explique sus causas y recomiende acciones. El trabajo comenzará con la base común de datos y trazabilidad, continuará con MFG y después se extenderá al resto de los departamentos.</w:t>
      </w:r>
    </w:p>
    <w:p>
      <w:pPr>
        <w:pStyle w:val="Heading1"/>
      </w:pPr>
      <w:r>
        <w:t>Resumen ejecutivo</w:t>
      </w:r>
    </w:p>
    <w:p>
      <w:r>
        <w:t>El sistema ya cuenta con un módulo predictivo inicial en MFG: reportes KPI, simulación de periodos, pronóstico de indicadores, rangos de incertidumbre, comparación de tendencias y alertas. La siguiente etapa es convertir ese prototipo en una capacidad transversal, medible y reutilizable.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88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672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Situación actual</w:t>
            </w:r>
          </w:p>
        </w:tc>
        <w:tc>
          <w:tcPr>
            <w:tcW w:type="dxa" w:w="3672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Siguiente resultado</w:t>
            </w:r>
          </w:p>
        </w:tc>
      </w:tr>
      <w:t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MFG / Producción</w:t>
            </w:r>
          </w:p>
        </w:tc>
        <w:tc>
          <w:tcPr>
            <w:tcW w:type="dxa" w:w="36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Pronóstico de KPI y alertas</w:t>
            </w:r>
          </w:p>
        </w:tc>
        <w:tc>
          <w:tcPr>
            <w:tcW w:type="dxa" w:w="36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Predicción por línea, producto y turno</w:t>
            </w:r>
          </w:p>
        </w:tc>
      </w:tr>
      <w:t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Inventario y Compras</w:t>
            </w:r>
          </w:p>
        </w:tc>
        <w:tc>
          <w:tcPr>
            <w:tcW w:type="dxa" w:w="36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Datos de entradas, salidas y proveedores</w:t>
            </w:r>
          </w:p>
        </w:tc>
        <w:tc>
          <w:tcPr>
            <w:tcW w:type="dxa" w:w="36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Demanda, reorden y riesgo de ruptura</w:t>
            </w:r>
          </w:p>
        </w:tc>
      </w:tr>
      <w:t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Calidad y QA</w:t>
            </w:r>
          </w:p>
        </w:tc>
        <w:tc>
          <w:tcPr>
            <w:tcW w:type="dxa" w:w="36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Defectos, scrap e inspecciones</w:t>
            </w:r>
          </w:p>
        </w:tc>
        <w:tc>
          <w:tcPr>
            <w:tcW w:type="dxa" w:w="36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Riesgo de defecto y causa probable</w:t>
            </w:r>
          </w:p>
        </w:tc>
      </w:tr>
      <w:t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Mantenimiento</w:t>
            </w:r>
          </w:p>
        </w:tc>
        <w:tc>
          <w:tcPr>
            <w:tcW w:type="dxa" w:w="36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Datos indirectos de recursos y paros</w:t>
            </w:r>
          </w:p>
        </w:tc>
        <w:tc>
          <w:tcPr>
            <w:tcW w:type="dxa" w:w="36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Bitácora y riesgo de falla</w:t>
            </w:r>
          </w:p>
        </w:tc>
      </w:tr>
      <w:t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Finanzas</w:t>
            </w:r>
          </w:p>
        </w:tc>
        <w:tc>
          <w:tcPr>
            <w:tcW w:type="dxa" w:w="36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Costos, presupuestos, pagos y cobros</w:t>
            </w:r>
          </w:p>
        </w:tc>
        <w:tc>
          <w:tcPr>
            <w:tcW w:type="dxa" w:w="36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Flujo, desviación y rentabilidad</w:t>
            </w:r>
          </w:p>
        </w:tc>
      </w:tr>
    </w:tbl>
    <w:p>
      <w:pPr>
        <w:spacing w:after="40"/>
      </w:pPr>
    </w:p>
    <w:p>
      <w:pPr>
        <w:pStyle w:val="Heading1"/>
      </w:pPr>
      <w:r>
        <w:t>Arquitectura común</w:t>
      </w:r>
    </w:p>
    <w:p>
      <w:r>
        <w:t>Todos los departamentos utilizarán el mismo ciclo de trabajo. La diferencia estará en sus métricas, fuentes y acciones, no en la forma de registrar y evaluar las predicciones.</w:t>
      </w:r>
    </w:p>
    <w:p>
      <w:pPr>
        <w:pStyle w:val="Subtitle"/>
      </w:pPr>
      <w:r>
        <w:t>Datos operativos → Dataset histórico → Modelo → Pronóstico o riesgo → Acción → Resultado real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656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Capa</w:t>
            </w:r>
          </w:p>
        </w:tc>
        <w:tc>
          <w:tcPr>
            <w:tcW w:type="dxa" w:w="4320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</w:t>
            </w:r>
          </w:p>
        </w:tc>
        <w:tc>
          <w:tcPr>
            <w:tcW w:type="dxa" w:w="3456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6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Datos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Capturar operaciones y eventos</w:t>
            </w:r>
          </w:p>
        </w:tc>
        <w:tc>
          <w:tcPr>
            <w:tcW w:type="dxa" w:w="34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Historial confiable</w:t>
            </w:r>
          </w:p>
        </w:tc>
      </w:tr>
      <w:tr>
        <w:tc>
          <w:tcPr>
            <w:tcW w:type="dxa" w:w="16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Preparación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Limpiar, agrupar y validar</w:t>
            </w:r>
          </w:p>
        </w:tc>
        <w:tc>
          <w:tcPr>
            <w:tcW w:type="dxa" w:w="34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Dataset utilizable</w:t>
            </w:r>
          </w:p>
        </w:tc>
      </w:tr>
      <w:tr>
        <w:tc>
          <w:tcPr>
            <w:tcW w:type="dxa" w:w="16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Modelo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Detectar patrones y estimar futuro</w:t>
            </w:r>
          </w:p>
        </w:tc>
        <w:tc>
          <w:tcPr>
            <w:tcW w:type="dxa" w:w="34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Predicción</w:t>
            </w:r>
          </w:p>
        </w:tc>
      </w:tr>
      <w:tr>
        <w:tc>
          <w:tcPr>
            <w:tcW w:type="dxa" w:w="16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Explicación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Mostrar causas, confianza y rango</w:t>
            </w:r>
          </w:p>
        </w:tc>
        <w:tc>
          <w:tcPr>
            <w:tcW w:type="dxa" w:w="34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Interpretación</w:t>
            </w:r>
          </w:p>
        </w:tc>
      </w:tr>
      <w:tr>
        <w:tc>
          <w:tcPr>
            <w:tcW w:type="dxa" w:w="16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Acción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Crear alerta, tarea o recomendación</w:t>
            </w:r>
          </w:p>
        </w:tc>
        <w:tc>
          <w:tcPr>
            <w:tcW w:type="dxa" w:w="34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Decisión operativa</w:t>
            </w:r>
          </w:p>
        </w:tc>
      </w:tr>
      <w:tr>
        <w:tc>
          <w:tcPr>
            <w:tcW w:type="dxa" w:w="16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Evaluación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Comparar predicción contra resultado</w:t>
            </w:r>
          </w:p>
        </w:tc>
        <w:tc>
          <w:tcPr>
            <w:tcW w:type="dxa" w:w="34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  <w:shd w:fill="F2F6FA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Error y mejora</w:t>
            </w:r>
          </w:p>
        </w:tc>
      </w:tr>
    </w:tbl>
    <w:p>
      <w:pPr>
        <w:spacing w:after="40"/>
      </w:pPr>
    </w:p>
    <w:p>
      <w:pPr>
        <w:pStyle w:val="Heading1"/>
      </w:pPr>
      <w:r>
        <w:t>Estado actual del proyecto</w:t>
      </w:r>
    </w:p>
    <w:p>
      <w:pPr>
        <w:pStyle w:val="ListBullet"/>
        <w:spacing w:after="60"/>
      </w:pPr>
      <w:r>
        <w:t>MFG cuenta con pronóstico de OEE, disponibilidad, rendimiento, calidad y producción.</w:t>
      </w:r>
    </w:p>
    <w:p>
      <w:pPr>
        <w:pStyle w:val="ListBullet"/>
        <w:spacing w:after="60"/>
      </w:pPr>
      <w:r>
        <w:t>La interfaz permite comparar métricas, activar o desactivar series y observar tendencias en Base 100.</w:t>
      </w:r>
    </w:p>
    <w:p>
      <w:pPr>
        <w:pStyle w:val="ListBullet"/>
        <w:spacing w:after="60"/>
      </w:pPr>
      <w:r>
        <w:t>La simulación local puede generar 10 periodos semanales para alimentar el análisis.</w:t>
      </w:r>
    </w:p>
    <w:p>
      <w:pPr>
        <w:pStyle w:val="ListBullet"/>
        <w:spacing w:after="60"/>
      </w:pPr>
      <w:r>
        <w:t>La base local SQLite está activa para desarrollo y Supabase permanece desactivado.</w:t>
      </w:r>
    </w:p>
    <w:p>
      <w:pPr>
        <w:pStyle w:val="ListBullet"/>
        <w:spacing w:after="60"/>
      </w:pPr>
      <w:r>
        <w:t>Se agregó RegistroPrediccion para guardar modelo, versión, periodo, confianza, rango, acción y resultado futuro.</w:t>
      </w:r>
    </w:p>
    <w:p>
      <w:pPr>
        <w:pStyle w:val="ListBullet"/>
        <w:spacing w:after="60"/>
      </w:pPr>
      <w:r>
        <w:t>La migración 0031_registroprediccion ya fue aplicada en la base local.</w:t>
      </w:r>
    </w:p>
    <w:p>
      <w:pPr>
        <w:pStyle w:val="Heading1"/>
      </w:pPr>
      <w:r>
        <w:t>Plan de trabajo por fases</w:t>
      </w:r>
    </w:p>
    <w:p>
      <w:pPr>
        <w:pStyle w:val="Heading2"/>
      </w:pPr>
      <w:r>
        <w:t>Fase 1 Base común y calidad de datos</w:t>
      </w:r>
    </w:p>
    <w:p>
      <w:pPr>
        <w:pStyle w:val="ListNumber"/>
        <w:spacing w:after="60"/>
      </w:pPr>
      <w:r>
        <w:t>Crear el catálogo común de métricas, fuentes, unidades, objetivos y umbrales.</w:t>
      </w:r>
    </w:p>
    <w:p>
      <w:pPr>
        <w:pStyle w:val="ListNumber"/>
        <w:spacing w:after="60"/>
      </w:pPr>
      <w:r>
        <w:t>Normalizar periodos, líneas, departamentos, turnos y responsables.</w:t>
      </w:r>
    </w:p>
    <w:p>
      <w:pPr>
        <w:pStyle w:val="ListNumber"/>
        <w:spacing w:after="60"/>
      </w:pPr>
      <w:r>
        <w:t>Registrar muestras, nulos, duplicados y cobertura temporal.</w:t>
      </w:r>
    </w:p>
    <w:p>
      <w:pPr>
        <w:pStyle w:val="ListNumber"/>
        <w:spacing w:after="60"/>
      </w:pPr>
      <w:r>
        <w:t>Guardar cada predicción con modelo, versión, valor, rango y confianza.</w:t>
      </w:r>
    </w:p>
    <w:p>
      <w:pPr>
        <w:pStyle w:val="ListNumber"/>
        <w:spacing w:after="60"/>
      </w:pPr>
      <w:r>
        <w:t>Comparar automáticamente cada predicción con el resultado real.</w:t>
      </w:r>
    </w:p>
    <w:p>
      <w:pPr>
        <w:pStyle w:val="Heading2"/>
      </w:pPr>
      <w:r>
        <w:t>Fase 2 MFG y Producción</w:t>
      </w:r>
    </w:p>
    <w:p>
      <w:pPr>
        <w:pStyle w:val="ListBullet"/>
        <w:spacing w:after="60"/>
      </w:pPr>
      <w:r>
        <w:t>Separar predicciones por línea, producto y turno.</w:t>
      </w:r>
    </w:p>
    <w:p>
      <w:pPr>
        <w:pStyle w:val="ListBullet"/>
        <w:spacing w:after="60"/>
      </w:pPr>
      <w:r>
        <w:t>Agregar scrap, retraso de órdenes y costo final.</w:t>
      </w:r>
    </w:p>
    <w:p>
      <w:pPr>
        <w:pStyle w:val="ListBullet"/>
        <w:spacing w:after="60"/>
      </w:pPr>
      <w:r>
        <w:t>Comparar tendencia lineal, promedio móvil y modelos alternativos.</w:t>
      </w:r>
    </w:p>
    <w:p>
      <w:pPr>
        <w:pStyle w:val="ListBullet"/>
        <w:spacing w:after="60"/>
      </w:pPr>
      <w:r>
        <w:t>Convertir alertas en tareas operativas.</w:t>
      </w:r>
    </w:p>
    <w:p>
      <w:pPr>
        <w:pStyle w:val="ListBullet"/>
        <w:spacing w:after="60"/>
      </w:pPr>
      <w:r>
        <w:t>No mostrar alta confianza con menos de cuatro periodos.</w:t>
      </w:r>
    </w:p>
    <w:p>
      <w:pPr>
        <w:pStyle w:val="Heading2"/>
      </w:pPr>
      <w:r>
        <w:t>Fase 3 Inventario y Compras</w:t>
      </w:r>
    </w:p>
    <w:p>
      <w:pPr>
        <w:pStyle w:val="ListBullet"/>
        <w:spacing w:after="60"/>
      </w:pPr>
      <w:r>
        <w:t>Demanda futura por material.</w:t>
      </w:r>
    </w:p>
    <w:p>
      <w:pPr>
        <w:pStyle w:val="ListBullet"/>
        <w:spacing w:after="60"/>
      </w:pPr>
      <w:r>
        <w:t>Punto de reorden y fecha probable de agotamiento.</w:t>
      </w:r>
    </w:p>
    <w:p>
      <w:pPr>
        <w:pStyle w:val="ListBullet"/>
        <w:spacing w:after="60"/>
      </w:pPr>
      <w:r>
        <w:t>Riesgo de ruptura de stock.</w:t>
      </w:r>
    </w:p>
    <w:p>
      <w:pPr>
        <w:pStyle w:val="ListBullet"/>
        <w:spacing w:after="60"/>
      </w:pPr>
      <w:r>
        <w:t>Tiempo de entrega por proveedor.</w:t>
      </w:r>
    </w:p>
    <w:p>
      <w:pPr>
        <w:pStyle w:val="ListBullet"/>
        <w:spacing w:after="60"/>
      </w:pPr>
      <w:r>
        <w:t>Cantidad sugerida de compra.</w:t>
      </w:r>
    </w:p>
    <w:p>
      <w:r>
        <w:t>Datos base: entradas, salidas, transferencias, inventario, proveedores, precios y órdenes de compra.</w:t>
      </w:r>
    </w:p>
    <w:p>
      <w:pPr>
        <w:pStyle w:val="Heading2"/>
      </w:pPr>
      <w:r>
        <w:t>Fase 4 Calidad y QA</w:t>
      </w:r>
    </w:p>
    <w:p>
      <w:pPr>
        <w:pStyle w:val="ListBullet"/>
        <w:spacing w:after="60"/>
      </w:pPr>
      <w:r>
        <w:t>Probabilidad de defecto por producto, BOM, línea o proveedor.</w:t>
      </w:r>
    </w:p>
    <w:p>
      <w:pPr>
        <w:pStyle w:val="ListBullet"/>
        <w:spacing w:after="60"/>
      </w:pPr>
      <w:r>
        <w:t>Tendencia de scrap y reincidencia de defectos.</w:t>
      </w:r>
    </w:p>
    <w:p>
      <w:pPr>
        <w:pStyle w:val="ListBullet"/>
        <w:spacing w:after="60"/>
      </w:pPr>
      <w:r>
        <w:t>Riesgo de reclamo de cliente.</w:t>
      </w:r>
    </w:p>
    <w:p>
      <w:pPr>
        <w:pStyle w:val="ListBullet"/>
        <w:spacing w:after="60"/>
      </w:pPr>
      <w:r>
        <w:t>Proceso o material con mayor contribución al problema.</w:t>
      </w:r>
    </w:p>
    <w:p>
      <w:pPr>
        <w:pStyle w:val="ListBullet"/>
        <w:spacing w:after="60"/>
      </w:pPr>
      <w:r>
        <w:t>Acción correctiva sugerida y seguimiento del resultado.</w:t>
      </w:r>
    </w:p>
    <w:p>
      <w:pPr>
        <w:pStyle w:val="Heading2"/>
      </w:pPr>
      <w:r>
        <w:t>Fase 5 Mantenimiento y recursos</w:t>
      </w:r>
    </w:p>
    <w:p>
      <w:r>
        <w:t>El ERP todavía no cuenta con un módulo formal de mantenimiento. La primera versión se apoyará en paros, horas de máquina, costos, cambios de ciclo y defectos relacionados con recursos.</w:t>
      </w:r>
    </w:p>
    <w:p>
      <w:pPr>
        <w:pStyle w:val="ListBullet"/>
        <w:spacing w:after="60"/>
      </w:pPr>
      <w:r>
        <w:t>Crear bitácora de mantenimiento.</w:t>
      </w:r>
    </w:p>
    <w:p>
      <w:pPr>
        <w:pStyle w:val="ListBullet"/>
        <w:spacing w:after="60"/>
      </w:pPr>
      <w:r>
        <w:t>Registrar fallas, causas, duración y reparaciones.</w:t>
      </w:r>
    </w:p>
    <w:p>
      <w:pPr>
        <w:pStyle w:val="ListBullet"/>
        <w:spacing w:after="60"/>
      </w:pPr>
      <w:r>
        <w:t>Calcular riesgo de falla por máquina.</w:t>
      </w:r>
    </w:p>
    <w:p>
      <w:pPr>
        <w:pStyle w:val="ListBullet"/>
        <w:spacing w:after="60"/>
      </w:pPr>
      <w:r>
        <w:t>Integrar sensores de temperatura, vibración o consumo cuando estén disponibles.</w:t>
      </w:r>
    </w:p>
    <w:p>
      <w:pPr>
        <w:pStyle w:val="Heading2"/>
      </w:pPr>
      <w:r>
        <w:t>Fase 6 Finanzas y Planeación</w:t>
      </w:r>
    </w:p>
    <w:p>
      <w:pPr>
        <w:pStyle w:val="ListBullet"/>
        <w:spacing w:after="60"/>
      </w:pPr>
      <w:r>
        <w:t>Flujo de caja proyectado.</w:t>
      </w:r>
    </w:p>
    <w:p>
      <w:pPr>
        <w:pStyle w:val="ListBullet"/>
        <w:spacing w:after="60"/>
      </w:pPr>
      <w:r>
        <w:t>Cobros y pagos atrasados.</w:t>
      </w:r>
    </w:p>
    <w:p>
      <w:pPr>
        <w:pStyle w:val="ListBullet"/>
        <w:spacing w:after="60"/>
      </w:pPr>
      <w:r>
        <w:t>Desviación presupuestal.</w:t>
      </w:r>
    </w:p>
    <w:p>
      <w:pPr>
        <w:pStyle w:val="ListBullet"/>
        <w:spacing w:after="60"/>
      </w:pPr>
      <w:r>
        <w:t>Costo final de órdenes.</w:t>
      </w:r>
    </w:p>
    <w:p>
      <w:pPr>
        <w:pStyle w:val="ListBullet"/>
        <w:spacing w:after="60"/>
      </w:pPr>
      <w:r>
        <w:t>Rentabilidad estimada.</w:t>
      </w:r>
    </w:p>
    <w:p>
      <w:pPr>
        <w:pStyle w:val="ListBullet"/>
        <w:spacing w:after="60"/>
      </w:pPr>
      <w:r>
        <w:t>Capacidad futura contra demanda.</w:t>
      </w:r>
    </w:p>
    <w:p>
      <w:pPr>
        <w:pStyle w:val="Heading2"/>
      </w:pPr>
      <w:r>
        <w:t>Fase 7 Operación y gobierno de modelos</w:t>
      </w:r>
    </w:p>
    <w:p>
      <w:pPr>
        <w:pStyle w:val="ListBullet"/>
        <w:spacing w:after="60"/>
      </w:pPr>
      <w:r>
        <w:t>Reentrenamiento programado.</w:t>
      </w:r>
    </w:p>
    <w:p>
      <w:pPr>
        <w:pStyle w:val="ListBullet"/>
        <w:spacing w:after="60"/>
      </w:pPr>
      <w:r>
        <w:t>Versionado de modelos.</w:t>
      </w:r>
    </w:p>
    <w:p>
      <w:pPr>
        <w:pStyle w:val="ListBullet"/>
        <w:spacing w:after="60"/>
      </w:pPr>
      <w:r>
        <w:t>Monitoreo de error y deriva de datos.</w:t>
      </w:r>
    </w:p>
    <w:p>
      <w:pPr>
        <w:pStyle w:val="ListBullet"/>
        <w:spacing w:after="60"/>
      </w:pPr>
      <w:r>
        <w:t>Registro de predicciones y decisiones.</w:t>
      </w:r>
    </w:p>
    <w:p>
      <w:pPr>
        <w:pStyle w:val="ListBullet"/>
        <w:spacing w:after="60"/>
      </w:pPr>
      <w:r>
        <w:t>Permisos por departamento.</w:t>
      </w:r>
    </w:p>
    <w:p>
      <w:pPr>
        <w:pStyle w:val="ListBullet"/>
        <w:spacing w:after="60"/>
      </w:pPr>
      <w:r>
        <w:t>Respaldos y migración a PostgreSQL para producción.</w:t>
      </w:r>
    </w:p>
    <w:p>
      <w:pPr>
        <w:pStyle w:val="ListBullet"/>
        <w:spacing w:after="60"/>
      </w:pPr>
      <w:r>
        <w:t>Pruebas automatizadas de datos, modelos y vistas.</w:t>
      </w:r>
    </w:p>
    <w:p>
      <w:pPr>
        <w:pStyle w:val="Heading1"/>
      </w:pPr>
      <w:r>
        <w:t>Prioridad inmediata</w:t>
      </w:r>
    </w:p>
    <w:p>
      <w:r>
        <w:t>El trabajo inmediato seguirá este orden:</w:t>
      </w:r>
    </w:p>
    <w:p>
      <w:pPr>
        <w:pStyle w:val="ListNumber"/>
        <w:spacing w:after="60"/>
      </w:pPr>
      <w:r>
        <w:t>Completar el contrato común de predicciones y sus métricas de calidad.</w:t>
      </w:r>
    </w:p>
    <w:p>
      <w:pPr>
        <w:pStyle w:val="ListNumber"/>
        <w:spacing w:after="60"/>
      </w:pPr>
      <w:r>
        <w:t>Registrar los resultados reales y calcular el error posterior.</w:t>
      </w:r>
    </w:p>
    <w:p>
      <w:pPr>
        <w:pStyle w:val="ListNumber"/>
        <w:spacing w:after="60"/>
      </w:pPr>
      <w:r>
        <w:t>Migrar completamente MFG al registro histórico.</w:t>
      </w:r>
    </w:p>
    <w:p>
      <w:pPr>
        <w:pStyle w:val="ListNumber"/>
        <w:spacing w:after="60"/>
      </w:pPr>
      <w:r>
        <w:t>Construir el primer caso predictivo de Inventario y Compras.</w:t>
      </w:r>
    </w:p>
    <w:p>
      <w:pPr>
        <w:pStyle w:val="ListNumber"/>
        <w:spacing w:after="60"/>
      </w:pPr>
      <w:r>
        <w:t>Agregar alertas accionables y permisos por departamento.</w:t>
      </w:r>
    </w:p>
    <w:p>
      <w:pPr>
        <w:pStyle w:val="Heading1"/>
      </w:pPr>
      <w:r>
        <w:t>Criterios de éxito</w:t>
      </w:r>
    </w:p>
    <w:p>
      <w:pPr>
        <w:pStyle w:val="ListBullet"/>
        <w:spacing w:after="60"/>
      </w:pPr>
      <w:r>
        <w:t>Cada predicción identifica departamento, métrica, periodo, modelo y versión.</w:t>
      </w:r>
    </w:p>
    <w:p>
      <w:pPr>
        <w:pStyle w:val="ListBullet"/>
        <w:spacing w:after="60"/>
      </w:pPr>
      <w:r>
        <w:t>El usuario ve valor actual, valor esperado, confianza, rango y acción.</w:t>
      </w:r>
    </w:p>
    <w:p>
      <w:pPr>
        <w:pStyle w:val="ListBullet"/>
        <w:spacing w:after="60"/>
      </w:pPr>
      <w:r>
        <w:t>El sistema mide el error cuando existe un resultado real.</w:t>
      </w:r>
    </w:p>
    <w:p>
      <w:pPr>
        <w:pStyle w:val="ListBullet"/>
        <w:spacing w:after="60"/>
      </w:pPr>
      <w:r>
        <w:t>Cada departamento cuenta con al menos un caso predictivo útil.</w:t>
      </w:r>
    </w:p>
    <w:p>
      <w:pPr>
        <w:pStyle w:val="ListBullet"/>
        <w:spacing w:after="60"/>
      </w:pPr>
      <w:r>
        <w:t>Las alertas pueden convertirse en tareas o seguimientos dentro del ERP.</w:t>
      </w:r>
    </w:p>
    <w:p>
      <w:pPr>
        <w:pStyle w:val="ListBullet"/>
        <w:spacing w:after="60"/>
      </w:pPr>
      <w:r>
        <w:t>Los modelos pueden compararse, actualizarse y auditarse.</w:t>
      </w:r>
    </w:p>
    <w:p>
      <w:pPr>
        <w:pStyle w:val="Heading1"/>
      </w:pPr>
      <w:r>
        <w:t>Cómo continuar el trabajo</w:t>
      </w:r>
    </w:p>
    <w:p>
      <w:r>
        <w:t>Para retomar el proyecto, comparte este documento y señala la fase o actividad que deseas continuar. La prioridad actual es terminar la Fase 1 y ampliar el análisis desde MFG hacia Inventario y Compras.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Sistema JulMarp ERP · Plan de análisis predictivo · </w:t>
    </w:r>
    <w:r>
      <w:rPr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