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6:30 PM - 7:30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Undergraduates: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Review: December 10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Bluetooth Classic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 CC2654; does not come with MCU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buy 3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 CC2654MODNEM: probably will not use this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http://www.mouser.com/ProductDetail/Texas-Instruments/CC2564MODNEM/?qs=sGAEpiMZZMvtrnhC60i%252bOpAz4Gk8rvo8zKXEzKdK69s%3d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microcontroller to use?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MSP430F5529 or F5438 since these are the only ones that support the CC2654 headers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Size: Both have fairly large sizes (12 x 12 or 14 x 14 mm)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MSP430F5438A Microstar Junior: 7 x 7 m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eventually use this because it will fit in size constraint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Evaluation, we use MSP430F5438A Experimentor board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buy 3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http://www.mouser.com/ProductDetail/Texas-Instruments/MSP-EXP430F5438/?qs=3bSaU8eFeoEdF6TH%252bnkwCg%3D%3D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Terminal: Yuan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in values via bluetooth and print out all values to confirm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Bluetooth performance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Also, confirm bit error rate for Bluetooth/Verify if there are errors visible at high level to see if hardware/protocol automatically corrects for package error.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2a80b9"/>
            <w:sz w:val="23"/>
            <w:szCs w:val="23"/>
            <w:highlight w:val="white"/>
            <w:rtl w:val="0"/>
          </w:rPr>
          <w:t xml:space="preserve">http://www.mathworks.com/help/instrument/reading-and-writing-data-over-the-bluetooth-interface.html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Wireless transmission: MSP430F5529 + CC2654: Xin Huang and Stephen Xia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we actually get 2.1 Mb/s reliably along with error rate?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current data rate without compression is around 1.9 Mb/s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Analog Front End: Tingkai Liu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out breakout board for LVDS converter: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standard 20-TSSOP(0.173”, 4.40 mm Width)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have breakout board in OEDK: Can check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mouser.com/ProductDetail/Texas-Instruments/MSP-EXP430F5438/?qs=3bSaU8eFeoEdF6TH%252bnkwCg%3D%3D" TargetMode="External"/><Relationship Id="rId6" Type="http://schemas.openxmlformats.org/officeDocument/2006/relationships/hyperlink" Target="http://www.mathworks.com/help/instrument/reading-and-writing-data-over-the-bluetooth-interface.html" TargetMode="External"/></Relationships>
</file>