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Lovett Commons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6:30 - 7:30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Undergraduate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ECOG data: TK took the training module and is now requesting ECOG data as fast as possible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use normal CMOS mode if you pull a pin high, but we don’t know if we can do that, so we may need a converter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64 channel uses double data rate by transmitting on falling and rising clock edge, which requires a FPGA to run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get only the 32 channel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 SPECS due on FRIDAY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logistics: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is more heavyweight: handles reliability and congestion control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Yuan has code, but can’t test until we get actual ECOG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Transmission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Xin: look into how to implement TCP and/or UDP or what other transmission format to use (or look into the common bluetooth transmission scheme (RCOM))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get an example running on a microcontroller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will be overhead size?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rate and error checking mechanism?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it do if it loses a package?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Yuan: Generate data to test huffman encoding and come up with some sort of compression ratio and compare it with the correlation function of the signal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Minimum: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What affects compression ratio of a given algorithm?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TK: Nordic board and inquire about AFE whether or not we can pull the pin up to use CMOS mode, not DDR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Stephen: CC2650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with Tandon: What is the minimum bandwidth we can get away with?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power analysis and bandwidth analysis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