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2.2 kSamples/Second for 35 channels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1.3 mA * 3.3 V to power intan chip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510 uA +150 uA to for ADC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buy 64 channel so you don’t have to rebuild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Wireless Chips/BLE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Broadcom: A4WP wireless charging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only over a few cm and depends on geometry and angle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Aggregate bandwidth of BLE (with a lot of senders at the same time).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31 Mbps BT paper and book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*Must determine if we have enough bandwidth; speculate that we don’t have enough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Zinc air battery: 300 mAh at 1.4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7.9 mm x 5.6 mm (diameter x height)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Compression</w:t>
        <w:br w:type="textWrapping"/>
        <w:tab/>
        <w:t xml:space="preserve">- Huffman Encoding: 40.9% save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CMC lab for BT test equipment if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ble bandwidth, are we limited because we are using 1 channel?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 chip has 38 channels, why can’t we have 16 different channels?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set up each transmitter on a single channel streaming on independent channels?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http://www.radio-electronics.com/info/wireless/bluetooth/radio-interface-modulation.php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http://www.argenox.com/bluetooth-low-energy-ble-v4-0-development/library/a-ble-advertising-primer/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adio-electronics.com/info/wireless/bluetooth/radio-interface-modulation.php" TargetMode="External"/><Relationship Id="rId6" Type="http://schemas.openxmlformats.org/officeDocument/2006/relationships/hyperlink" Target="http://www.argenox.com/bluetooth-low-energy-ble-v4-0-development/library/a-ble-advertising-primer/" TargetMode="External"/></Relationships>
</file>