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10/16/2015 - 10/22/2015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FOSS I Evaluation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whether or not to purchase Intan chip given the cost and our application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strategy for determining FOSS II goals and creating wireless network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cycle one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other approaches for BLE other than CC2650 (found the Nordic Labs chips)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not figure out BLE environment from TI, but we will still continue to try.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Labs has a BLE chip, but has no sample code.  Testing on this board may be difficult.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 Two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 Two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 Two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 Two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compression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47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1-on-1 Meeting – 10/16/2015, 1:00PM - 2:00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two TI engineers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 part is to reduce required data rate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ADC: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precision may not be useful in our application, so we can reduce data rate by reducing the bit precision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Better signal conditioning may reduce the bits required for the ADC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Components: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 all data and decimate by only sending a fraction of it using ffts or other methods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Aim for 750 kb/s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Possibly use 802.11g; look into the documentation for this protocol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overhead: packets may get lost, so what will the scheme do when data gets lost?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Things to consider: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 the dimensionality of the problem by taking FFTs and transmit the frequencies you need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how UDP and TCP works to deal with error correction and lost packets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Packet error rates: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Lots of wireless devices in an area, like in a hospital, will increase the packet error rates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Transmit and lower frequencies to reduce packet error rates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conduct throughput tests in hospitals where the system will be used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10/22/2015,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Hamed Rahmani, Gary Woods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FOSS I Evaluation: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objectives completed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wireless transmission scheme was not successful due to difficulty in using the TI BLE stack.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development while also looking into simpler schemes, like the point-to-point connection and BLE chips from Nordic Labs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Steps: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for IEEG data from Dr. Tandon or Professor Aazhang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Purchase the 64 channel Intan chip; it does exactly what we need for AFE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Really need to get wireless BLE working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on CC2650 and Nordic Labs chips in parallel with each other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udp and tcp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Adaptive Huffman encoding compresses by 40% at most and only if the data is highly correlated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Vector Quantization has 60% compression; look more into this method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Another possible way to reduce data rate: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specified we should sample at 1 kHz, but in papers released by Reid Harrison of Intan Technologies, signals of only up to 30 Hz are seen.  As such, we can reduce the sampling rate by more than a factor of two if this is true, making our system feasible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Wireless/BLE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analog front-end chips for neural recording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analog front-end circuits for high SNR amplification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Battery module research/survey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Chip/Analog front-end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Wireless transmission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CC2650/CC2640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Design 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Team 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Standards and Regulations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Product Safety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Setup SVN; compile documentation online and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List of Purchases and Expenditures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