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10/23/2015 - 10/29/2015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over power consumption and bandwidth feasibility with Dr. Tandon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CC2650 wireless transmission updates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how to pay for the Intan Chip using funds from two different sources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how to obtain intracranial EEG data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Continue development of wireless transmission scheme using CC2650 and Nordic Labs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on CC2650 is still slow; still trying to understand code and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Labs SDK still not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CC2650 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Confirm Intan Chip specifications and costs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CC2650 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 battery research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Nordic Board 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Nordic Board BLE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10/29/2015,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did not show up, so we did not present our power and bandwidth feasibility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Buying the Intan Chip: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 funding from two sources (ECE department and OEDK)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place the order in one department and transfer funds between departments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CC2650: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Figured out the general framework of CC2650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Aim to have something custom transmitting next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Probably has enough memory to run a compression algorithm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EEG Data: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response from Dr. Tandon or Behnaam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to them directly or their graduate students, who should have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Compile a list of questions to ask Dr. Tandon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low can we sample the data?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papers only display up to 30 Hz on the spectrum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we lower the sampling rate to around 250 Hz, we can get the data rate to around 0.5 Mb/s, which is supported by 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Otherwise, we may have to heavily compress the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we get physical needle?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FOSS II Goals: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Characterize maybe only one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Possibly require an error correction mechanism (TCP or error correction code)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Next Time: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the Intan AFE Chip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Slides for Dr. Tandon next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 EEG data and run compression algorithms to test efficiency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transmission and incorporate Intan Chip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Survey analog front-end chips for neural recording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analog front-end circuits for high SNR amplification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Battery module research/survey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Chip/Analog front-end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Wireless transmission power consumption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CC2650/CC2640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Nordic Labs BLE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11/04/2015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