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28584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85840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365FE" w:rsidRDefault="00B365F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B365FE" w:rsidRDefault="00B365FE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365FE" w:rsidRDefault="00B365F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365FE" w:rsidRDefault="00B365FE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365FE" w:rsidRDefault="00B365F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FRBA </w:t>
                            </w:r>
                            <w:r w:rsidR="005A4930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Hoteles</w:t>
                            </w:r>
                            <w:r w:rsidR="005A4930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, Estrategias</w:t>
                            </w:r>
                          </w:p>
                        </w:sdtContent>
                      </w:sdt>
                      <w:p w:rsidR="00B365FE" w:rsidRDefault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B365FE" w:rsidRPr="00B365FE" w:rsidRDefault="00B365FE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B365FE" w:rsidRDefault="00541BF6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</w:t>
                        </w:r>
                        <w:r w:rsid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L</w:t>
                        </w:r>
                        <w:r w:rsidR="00B365FE"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B365FE" w:rsidRDefault="00541BF6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</w:t>
                        </w:r>
                        <w:r w:rsidR="00B365FE"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Zelayeta</w:t>
                        </w:r>
                      </w:p>
                      <w:p w:rsidR="00B365FE" w:rsidRDefault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</w:t>
      </w:r>
      <w:r w:rsidR="00541BF6">
        <w:t>implementación</w:t>
      </w:r>
      <w:r w:rsidR="002D33C1">
        <w:t xml:space="preserve"> del rol sea independiente del hotel. Es decir, un mismo usuario tendrá los mismos roles en todos sus hoteles asignados.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2D33C1" w:rsidRDefault="00516ECC" w:rsidP="00516ECC">
      <w:pPr>
        <w:pStyle w:val="Ttulo1"/>
      </w:pPr>
      <w:r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lastRenderedPageBreak/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804A2E" w:rsidRDefault="00804A2E" w:rsidP="00466FFC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2073F9" w:rsidRDefault="002073F9" w:rsidP="002073F9"/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actual es simulada y se trae desde archivo de </w:t>
      </w:r>
      <w:r w:rsidR="00541BF6">
        <w:t>configuración</w:t>
      </w:r>
      <w:r>
        <w:t>: Frbahotel/App.config.</w:t>
      </w:r>
    </w:p>
    <w:p w:rsidR="00466FFC" w:rsidRDefault="00541BF6" w:rsidP="00466FFC">
      <w:pPr>
        <w:pStyle w:val="Ttulo1"/>
      </w:pPr>
      <w:r>
        <w:t>Países</w:t>
      </w:r>
    </w:p>
    <w:p w:rsidR="00466FFC" w:rsidRDefault="00466FFC" w:rsidP="00466FFC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8B30D8" w:rsidRDefault="008B30D8" w:rsidP="008B30D8"/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lastRenderedPageBreak/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736861" w:rsidP="00736861"/>
    <w:p w:rsidR="00736861" w:rsidRDefault="00541BF6" w:rsidP="00541BF6">
      <w:pPr>
        <w:pStyle w:val="Ttulo1"/>
      </w:pPr>
      <w:r>
        <w:t>Regímenes</w:t>
      </w:r>
    </w:p>
    <w:p w:rsidR="00804A2E" w:rsidRDefault="00736861" w:rsidP="00804A2E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541BF6" w:rsidRDefault="00541BF6" w:rsidP="00541BF6"/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736861" w:rsidRDefault="00736861" w:rsidP="00736861"/>
    <w:p w:rsidR="000339E1" w:rsidRDefault="002073F9" w:rsidP="00541BF6">
      <w:pPr>
        <w:pStyle w:val="Ttulo1"/>
      </w:pPr>
      <w:r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0339E1" w:rsidRPr="00466FFC" w:rsidRDefault="000339E1" w:rsidP="000339E1"/>
    <w:sectPr w:rsidR="000339E1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8F0AF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1FF69C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C29A4"/>
    <w:rsid w:val="0044636C"/>
    <w:rsid w:val="00466FFC"/>
    <w:rsid w:val="004E268E"/>
    <w:rsid w:val="004F737D"/>
    <w:rsid w:val="00516ECC"/>
    <w:rsid w:val="00541BF6"/>
    <w:rsid w:val="005A4930"/>
    <w:rsid w:val="006E3760"/>
    <w:rsid w:val="00736861"/>
    <w:rsid w:val="00804A2E"/>
    <w:rsid w:val="00867DD0"/>
    <w:rsid w:val="008B30D8"/>
    <w:rsid w:val="00AD6520"/>
    <w:rsid w:val="00B365FE"/>
    <w:rsid w:val="00D27B0F"/>
    <w:rsid w:val="00DB2FFF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9</cp:revision>
  <dcterms:created xsi:type="dcterms:W3CDTF">2014-11-11T19:18:00Z</dcterms:created>
  <dcterms:modified xsi:type="dcterms:W3CDTF">2014-11-12T01:05:00Z</dcterms:modified>
</cp:coreProperties>
</file>