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BA7E" w14:textId="77777777" w:rsidR="00A96744" w:rsidRDefault="00A96744">
      <w:pPr>
        <w:spacing w:before="2200"/>
      </w:pPr>
    </w:p>
    <w:p w14:paraId="150D31F8" w14:textId="77777777" w:rsidR="00A96744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MERCADO BRASILEIRO DE DADOS,</w:t>
      </w:r>
    </w:p>
    <w:p w14:paraId="3642A16E" w14:textId="77777777" w:rsidR="00A96744" w:rsidRDefault="00000000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ANALYTICS E INTELIGÊNCIA ARTIFICIAL</w:t>
      </w:r>
    </w:p>
    <w:p w14:paraId="3537C47D" w14:textId="77777777" w:rsidR="00A96744" w:rsidRDefault="00000000">
      <w:pPr>
        <w:spacing w:after="1200"/>
        <w:jc w:val="center"/>
      </w:pPr>
      <w:r>
        <w:rPr>
          <w:color w:val="2E75B6"/>
          <w:sz w:val="26"/>
          <w:szCs w:val="26"/>
        </w:rPr>
        <w:t xml:space="preserve">Panorama 2023–2025 do Profissional de Dados no Brasil e Recomendações Estratégicas para Contratação, Capacitação e Investimento </w:t>
      </w:r>
    </w:p>
    <w:p w14:paraId="3779CCD9" w14:textId="77777777" w:rsidR="00A96744" w:rsidRDefault="00000000">
      <w:pPr>
        <w:spacing w:after="60"/>
        <w:jc w:val="center"/>
      </w:pPr>
      <w:r>
        <w:rPr>
          <w:color w:val="5A5A5A"/>
          <w:sz w:val="22"/>
          <w:szCs w:val="22"/>
        </w:rPr>
        <w:t xml:space="preserve">Relatório Executivo </w:t>
      </w:r>
    </w:p>
    <w:p w14:paraId="56B467B7" w14:textId="77777777" w:rsidR="00A96744" w:rsidRDefault="00000000">
      <w:pPr>
        <w:jc w:val="center"/>
      </w:pPr>
      <w:r>
        <w:rPr>
          <w:color w:val="5A5A5A"/>
          <w:sz w:val="22"/>
          <w:szCs w:val="22"/>
        </w:rPr>
        <w:t xml:space="preserve">Tech Challenge Fase 3 — Big Data &amp; </w:t>
      </w:r>
      <w:proofErr w:type="spellStart"/>
      <w:r>
        <w:rPr>
          <w:color w:val="5A5A5A"/>
          <w:sz w:val="22"/>
          <w:szCs w:val="22"/>
        </w:rPr>
        <w:t>Analytics</w:t>
      </w:r>
      <w:proofErr w:type="spellEnd"/>
      <w:r>
        <w:rPr>
          <w:color w:val="5A5A5A"/>
          <w:sz w:val="22"/>
          <w:szCs w:val="22"/>
        </w:rPr>
        <w:t xml:space="preserve"> | Consultoria Estratégica em Dados</w:t>
      </w:r>
    </w:p>
    <w:tbl>
      <w:tblPr>
        <w:tblStyle w:val="a"/>
        <w:tblpPr w:leftFromText="141" w:rightFromText="141" w:vertAnchor="text" w:tblpY="217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3626"/>
      </w:tblGrid>
      <w:tr w:rsidR="00A96744" w14:paraId="70E2BDA8" w14:textId="77777777">
        <w:trPr>
          <w:tblHeader/>
        </w:trPr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0C2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AAE0" w14:textId="77777777" w:rsidR="00A96744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0C2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396" w14:textId="77777777" w:rsidR="00A96744" w:rsidRDefault="00000000">
            <w:r>
              <w:rPr>
                <w:b/>
                <w:bCs/>
                <w:color w:val="FFFFFF"/>
              </w:rPr>
              <w:t>RM</w:t>
            </w:r>
          </w:p>
        </w:tc>
      </w:tr>
      <w:tr w:rsidR="00A96744" w14:paraId="6EFE9BB4" w14:textId="77777777"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D0C4" w14:textId="77777777" w:rsidR="00A96744" w:rsidRDefault="00000000">
            <w:r>
              <w:rPr>
                <w:color w:val="2C3E50"/>
              </w:rPr>
              <w:t>Alana Barreto Gonçalves Sugiyama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710" w14:textId="77777777" w:rsidR="00A96744" w:rsidRDefault="00000000">
            <w:r>
              <w:rPr>
                <w:color w:val="2C3E50"/>
              </w:rPr>
              <w:t>RM374058</w:t>
            </w:r>
          </w:p>
        </w:tc>
      </w:tr>
      <w:tr w:rsidR="00A96744" w14:paraId="5C83D4FD" w14:textId="77777777"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3FC1" w14:textId="77777777" w:rsidR="00A96744" w:rsidRDefault="00000000">
            <w:r>
              <w:rPr>
                <w:color w:val="2C3E50"/>
              </w:rPr>
              <w:t>Juliana de Souza Almeida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903A" w14:textId="77777777" w:rsidR="00A96744" w:rsidRDefault="00000000">
            <w:r>
              <w:rPr>
                <w:color w:val="2C3E50"/>
              </w:rPr>
              <w:t>RM372677</w:t>
            </w:r>
          </w:p>
        </w:tc>
      </w:tr>
      <w:tr w:rsidR="00A96744" w14:paraId="7D44CA21" w14:textId="77777777"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D888" w14:textId="77777777" w:rsidR="00A96744" w:rsidRDefault="00000000">
            <w:r>
              <w:rPr>
                <w:color w:val="2C3E50"/>
              </w:rPr>
              <w:t>Nathalia Melo Moreira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574" w14:textId="77777777" w:rsidR="00A96744" w:rsidRDefault="00000000">
            <w:r>
              <w:rPr>
                <w:color w:val="2C3E50"/>
              </w:rPr>
              <w:t>RM370292</w:t>
            </w:r>
          </w:p>
        </w:tc>
      </w:tr>
      <w:tr w:rsidR="00A96744" w14:paraId="42366CCC" w14:textId="77777777"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4FC5" w14:textId="77777777" w:rsidR="00A96744" w:rsidRDefault="00000000">
            <w:r>
              <w:rPr>
                <w:color w:val="2C3E50"/>
              </w:rPr>
              <w:t>Ruan Vitor Scherer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151A" w14:textId="77777777" w:rsidR="00A96744" w:rsidRDefault="00000000">
            <w:r>
              <w:rPr>
                <w:color w:val="2C3E50"/>
              </w:rPr>
              <w:t>RM372856</w:t>
            </w:r>
          </w:p>
        </w:tc>
      </w:tr>
      <w:tr w:rsidR="00A96744" w14:paraId="67F64AAB" w14:textId="77777777">
        <w:tc>
          <w:tcPr>
            <w:tcW w:w="5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ACBF" w14:textId="77777777" w:rsidR="00A96744" w:rsidRDefault="00000000">
            <w:r>
              <w:rPr>
                <w:color w:val="2C3E50"/>
              </w:rPr>
              <w:t>Thalyta Cardoso De Oliveira</w:t>
            </w:r>
          </w:p>
        </w:tc>
        <w:tc>
          <w:tcPr>
            <w:tcW w:w="362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DEAD" w14:textId="77777777" w:rsidR="00A96744" w:rsidRDefault="00000000">
            <w:r>
              <w:rPr>
                <w:color w:val="2C3E50"/>
              </w:rPr>
              <w:t>RM370532</w:t>
            </w:r>
          </w:p>
        </w:tc>
      </w:tr>
    </w:tbl>
    <w:p w14:paraId="6E9B6852" w14:textId="77777777" w:rsidR="00A96744" w:rsidRDefault="00000000">
      <w:r>
        <w:br w:type="page"/>
      </w:r>
    </w:p>
    <w:p w14:paraId="5AFE08B3" w14:textId="77777777" w:rsidR="00A96744" w:rsidRDefault="00A96744"/>
    <w:p w14:paraId="5EA09F0E" w14:textId="77777777" w:rsidR="00A96744" w:rsidRDefault="00000000">
      <w:pPr>
        <w:pStyle w:val="Ttulo1"/>
        <w:spacing w:before="400" w:after="200"/>
      </w:pPr>
      <w:r>
        <w:t>Sumário</w:t>
      </w:r>
    </w:p>
    <w:p w14:paraId="5302C8BB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Sumário Executivo</w:t>
      </w:r>
      <w:r>
        <w:rPr>
          <w:color w:val="1F1F1F"/>
          <w:sz w:val="22"/>
          <w:szCs w:val="22"/>
        </w:rPr>
        <w:tab/>
        <w:t>3</w:t>
      </w:r>
    </w:p>
    <w:p w14:paraId="2CDB964F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1. Contexto e Fonte de Dados</w:t>
      </w:r>
      <w:r>
        <w:rPr>
          <w:color w:val="1F1F1F"/>
          <w:sz w:val="22"/>
          <w:szCs w:val="22"/>
        </w:rPr>
        <w:tab/>
        <w:t>4</w:t>
      </w:r>
    </w:p>
    <w:p w14:paraId="7F222F82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2. Arquitetura da Solução AWS</w:t>
      </w:r>
      <w:r>
        <w:rPr>
          <w:color w:val="1F1F1F"/>
          <w:sz w:val="22"/>
          <w:szCs w:val="22"/>
        </w:rPr>
        <w:tab/>
        <w:t>5</w:t>
      </w:r>
    </w:p>
    <w:p w14:paraId="5D85941F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3. Como está estruturado o mercado brasileiro de Dados?</w:t>
      </w:r>
      <w:r>
        <w:rPr>
          <w:color w:val="1F1F1F"/>
          <w:sz w:val="22"/>
          <w:szCs w:val="22"/>
        </w:rPr>
        <w:tab/>
        <w:t>8</w:t>
      </w:r>
    </w:p>
    <w:p w14:paraId="689059E0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4. Quais perfis profissionais são mais valorizados pelo mercado?</w:t>
      </w:r>
      <w:r>
        <w:rPr>
          <w:color w:val="1F1F1F"/>
          <w:sz w:val="22"/>
          <w:szCs w:val="22"/>
        </w:rPr>
        <w:tab/>
        <w:t>9</w:t>
      </w:r>
    </w:p>
    <w:p w14:paraId="04D4E6CE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5. Qual é o cenário de diversidade de gênero nas carreiras de dados?</w:t>
      </w:r>
      <w:r>
        <w:rPr>
          <w:color w:val="1F1F1F"/>
          <w:sz w:val="22"/>
          <w:szCs w:val="22"/>
        </w:rPr>
        <w:tab/>
        <w:t>10</w:t>
      </w:r>
    </w:p>
    <w:p w14:paraId="76A72D0C" w14:textId="181F0CD5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6. Quais tecnologias apresentam maior adoção entre os profissionais?</w:t>
      </w:r>
      <w:r>
        <w:rPr>
          <w:color w:val="1F1F1F"/>
          <w:sz w:val="22"/>
          <w:szCs w:val="22"/>
        </w:rPr>
        <w:tab/>
        <w:t>1</w:t>
      </w:r>
      <w:r w:rsidR="00854A39">
        <w:rPr>
          <w:color w:val="1F1F1F"/>
          <w:sz w:val="22"/>
          <w:szCs w:val="22"/>
        </w:rPr>
        <w:t>2</w:t>
      </w:r>
    </w:p>
    <w:p w14:paraId="067818C1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7. Qual é o índice de adoção de Inteligência Artificial e seu impacto?</w:t>
      </w:r>
      <w:r>
        <w:rPr>
          <w:color w:val="1F1F1F"/>
          <w:sz w:val="22"/>
          <w:szCs w:val="22"/>
        </w:rPr>
        <w:tab/>
        <w:t>15</w:t>
      </w:r>
    </w:p>
    <w:p w14:paraId="485A4D19" w14:textId="77777777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8. Existem diferenças relevantes entre regiões, senioridades ou modelos de trabalho?</w:t>
      </w:r>
      <w:r>
        <w:rPr>
          <w:color w:val="1F1F1F"/>
          <w:sz w:val="22"/>
          <w:szCs w:val="22"/>
        </w:rPr>
        <w:tab/>
        <w:t>16</w:t>
      </w:r>
    </w:p>
    <w:p w14:paraId="4B4C9FA2" w14:textId="003A8403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9. Quais oportunidades e desafios para empresas que desejam investir em Dados e IA?</w:t>
      </w:r>
      <w:r>
        <w:rPr>
          <w:color w:val="1F1F1F"/>
          <w:sz w:val="22"/>
          <w:szCs w:val="22"/>
        </w:rPr>
        <w:tab/>
        <w:t>1</w:t>
      </w:r>
      <w:r w:rsidR="00854A39">
        <w:rPr>
          <w:color w:val="1F1F1F"/>
          <w:sz w:val="22"/>
          <w:szCs w:val="22"/>
        </w:rPr>
        <w:t>7</w:t>
      </w:r>
    </w:p>
    <w:p w14:paraId="5594E4BD" w14:textId="41CA6924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10. Conclusão</w:t>
      </w:r>
      <w:r>
        <w:rPr>
          <w:color w:val="1F1F1F"/>
          <w:sz w:val="22"/>
          <w:szCs w:val="22"/>
        </w:rPr>
        <w:tab/>
        <w:t>1</w:t>
      </w:r>
      <w:r w:rsidR="00854A39">
        <w:rPr>
          <w:color w:val="1F1F1F"/>
          <w:sz w:val="22"/>
          <w:szCs w:val="22"/>
        </w:rPr>
        <w:t>8</w:t>
      </w:r>
    </w:p>
    <w:p w14:paraId="4C180D29" w14:textId="130050DC" w:rsidR="00A96744" w:rsidRDefault="00000000">
      <w:pPr>
        <w:tabs>
          <w:tab w:val="right" w:pos="9350"/>
        </w:tabs>
        <w:spacing w:after="140"/>
      </w:pPr>
      <w:r>
        <w:rPr>
          <w:color w:val="1F1F1F"/>
          <w:sz w:val="22"/>
          <w:szCs w:val="22"/>
        </w:rPr>
        <w:t>Anexo — Fontes e Entregáveis Técnicos</w:t>
      </w:r>
      <w:r>
        <w:rPr>
          <w:color w:val="1F1F1F"/>
          <w:sz w:val="22"/>
          <w:szCs w:val="22"/>
        </w:rPr>
        <w:tab/>
        <w:t>2</w:t>
      </w:r>
      <w:r w:rsidR="00854A39">
        <w:rPr>
          <w:color w:val="1F1F1F"/>
          <w:sz w:val="22"/>
          <w:szCs w:val="22"/>
        </w:rPr>
        <w:t>0</w:t>
      </w:r>
    </w:p>
    <w:p w14:paraId="51BDCA51" w14:textId="77777777" w:rsidR="00A96744" w:rsidRDefault="00000000">
      <w:r>
        <w:br w:type="page"/>
      </w:r>
    </w:p>
    <w:p w14:paraId="790758E5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Sumário Executivo</w:t>
      </w:r>
    </w:p>
    <w:p w14:paraId="29EA305F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Este relatório analisa o mercado brasileiro de Dados, </w:t>
      </w:r>
      <w:proofErr w:type="spellStart"/>
      <w:r>
        <w:rPr>
          <w:color w:val="1F1F1F"/>
          <w:sz w:val="22"/>
          <w:szCs w:val="22"/>
        </w:rPr>
        <w:t>Analytics</w:t>
      </w:r>
      <w:proofErr w:type="spellEnd"/>
      <w:r>
        <w:rPr>
          <w:color w:val="1F1F1F"/>
          <w:sz w:val="22"/>
          <w:szCs w:val="22"/>
        </w:rPr>
        <w:t xml:space="preserve"> e IA a partir de três edições da pesquisa </w:t>
      </w:r>
      <w:proofErr w:type="spellStart"/>
      <w:r>
        <w:rPr>
          <w:i/>
          <w:iCs/>
          <w:color w:val="1F1F1F"/>
          <w:sz w:val="22"/>
          <w:szCs w:val="22"/>
        </w:rPr>
        <w:t>State</w:t>
      </w:r>
      <w:proofErr w:type="spellEnd"/>
      <w:r>
        <w:rPr>
          <w:i/>
          <w:iCs/>
          <w:color w:val="1F1F1F"/>
          <w:sz w:val="22"/>
          <w:szCs w:val="22"/>
        </w:rPr>
        <w:t xml:space="preserve"> </w:t>
      </w:r>
      <w:proofErr w:type="spellStart"/>
      <w:r>
        <w:rPr>
          <w:i/>
          <w:iCs/>
          <w:color w:val="1F1F1F"/>
          <w:sz w:val="22"/>
          <w:szCs w:val="22"/>
        </w:rPr>
        <w:t>of</w:t>
      </w:r>
      <w:proofErr w:type="spellEnd"/>
      <w:r>
        <w:rPr>
          <w:i/>
          <w:iCs/>
          <w:color w:val="1F1F1F"/>
          <w:sz w:val="22"/>
          <w:szCs w:val="22"/>
        </w:rPr>
        <w:t xml:space="preserve"> Data Brasil</w:t>
      </w:r>
      <w:r>
        <w:rPr>
          <w:color w:val="1F1F1F"/>
          <w:sz w:val="22"/>
          <w:szCs w:val="22"/>
        </w:rPr>
        <w:t xml:space="preserve"> (2023–2025), com 14.002 respondentes válidos, para apoiar decisões de contratação, capacitação e investimento de uma Instituição Financeira.</w:t>
      </w:r>
    </w:p>
    <w:p w14:paraId="184E64A3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0E2841"/>
          <w:sz w:val="22"/>
          <w:szCs w:val="22"/>
        </w:rPr>
        <w:t>Principais achados:</w:t>
      </w:r>
      <w:r>
        <w:rPr>
          <w:color w:val="0E2841"/>
          <w:sz w:val="22"/>
          <w:szCs w:val="22"/>
        </w:rPr>
        <w:t xml:space="preserve"> </w:t>
      </w:r>
      <w:r>
        <w:rPr>
          <w:color w:val="1F1F1F"/>
          <w:sz w:val="22"/>
          <w:szCs w:val="22"/>
        </w:rPr>
        <w:t xml:space="preserve">O mercado é concentrado em Finanças e Tecnologia (35%); Analista de Dados é o cargo mais comum; há um teto de vidro real na carreira de mulheres; Python e AWS dominam a </w:t>
      </w:r>
      <w:proofErr w:type="spellStart"/>
      <w:r>
        <w:rPr>
          <w:color w:val="1F1F1F"/>
          <w:sz w:val="22"/>
          <w:szCs w:val="22"/>
        </w:rPr>
        <w:t>stack</w:t>
      </w:r>
      <w:proofErr w:type="spellEnd"/>
      <w:r>
        <w:rPr>
          <w:color w:val="1F1F1F"/>
          <w:sz w:val="22"/>
          <w:szCs w:val="22"/>
        </w:rPr>
        <w:t xml:space="preserve"> tecnológica; o uso individual de IA já é quase universal, mas a estratégia corporativa está atrasada; e o Sudeste concentra o maior volume de profissionais e os salários mais altos. Todos os indicadores foram extraídos das tabelas Gold via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Notebook e 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Athena.</w:t>
      </w:r>
    </w:p>
    <w:p w14:paraId="12777691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0C0C58BE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1. Contexto e Fonte de Dados</w:t>
      </w:r>
    </w:p>
    <w:p w14:paraId="50B5301D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 xml:space="preserve">Uma Instituição Financeira de grande porte pretende expandir sua área de Dados, </w:t>
      </w:r>
      <w:proofErr w:type="spellStart"/>
      <w:r>
        <w:rPr>
          <w:color w:val="1F1F1F"/>
          <w:sz w:val="22"/>
          <w:szCs w:val="22"/>
        </w:rPr>
        <w:t>Analytics</w:t>
      </w:r>
      <w:proofErr w:type="spellEnd"/>
      <w:r>
        <w:rPr>
          <w:color w:val="1F1F1F"/>
          <w:sz w:val="22"/>
          <w:szCs w:val="22"/>
        </w:rPr>
        <w:t xml:space="preserve"> e IA, e precisa compreender o mercado brasileiro para orientar contratação, capacitação e investimento em tecnologia. Este projeto entrega uma solução completa de Engenharia de Dados, da ingestão à geração de indicadores executivos, a partir das três últimas edições da pesquisa </w:t>
      </w:r>
      <w:proofErr w:type="spellStart"/>
      <w:r>
        <w:rPr>
          <w:color w:val="1F1F1F"/>
          <w:sz w:val="22"/>
          <w:szCs w:val="22"/>
        </w:rPr>
        <w:t>State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of</w:t>
      </w:r>
      <w:proofErr w:type="spellEnd"/>
      <w:r>
        <w:rPr>
          <w:color w:val="1F1F1F"/>
          <w:sz w:val="22"/>
          <w:szCs w:val="22"/>
        </w:rPr>
        <w:t xml:space="preserve"> Data Brasil (Data Hackers + Bain), publicadas no </w:t>
      </w:r>
      <w:proofErr w:type="spellStart"/>
      <w:r>
        <w:rPr>
          <w:color w:val="1F1F1F"/>
          <w:sz w:val="22"/>
          <w:szCs w:val="22"/>
        </w:rPr>
        <w:t>Kaggle</w:t>
      </w:r>
      <w:proofErr w:type="spellEnd"/>
      <w:r>
        <w:rPr>
          <w:color w:val="1F1F1F"/>
          <w:sz w:val="22"/>
          <w:szCs w:val="22"/>
        </w:rPr>
        <w:t>:</w:t>
      </w:r>
    </w:p>
    <w:p w14:paraId="5203A020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hyperlink r:id="rId9">
        <w:proofErr w:type="spellStart"/>
        <w:r>
          <w:rPr>
            <w:color w:val="2E75B6"/>
            <w:sz w:val="22"/>
            <w:szCs w:val="22"/>
            <w:u w:val="single"/>
          </w:rPr>
          <w:t>State</w:t>
        </w:r>
        <w:proofErr w:type="spellEnd"/>
        <w:r>
          <w:rPr>
            <w:color w:val="2E75B6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2E75B6"/>
            <w:sz w:val="22"/>
            <w:szCs w:val="22"/>
            <w:u w:val="single"/>
          </w:rPr>
          <w:t>of</w:t>
        </w:r>
        <w:proofErr w:type="spellEnd"/>
        <w:r>
          <w:rPr>
            <w:color w:val="2E75B6"/>
            <w:sz w:val="22"/>
            <w:szCs w:val="22"/>
            <w:u w:val="single"/>
          </w:rPr>
          <w:t xml:space="preserve"> Data </w:t>
        </w:r>
        <w:proofErr w:type="spellStart"/>
        <w:r>
          <w:rPr>
            <w:color w:val="2E75B6"/>
            <w:sz w:val="22"/>
            <w:szCs w:val="22"/>
            <w:u w:val="single"/>
          </w:rPr>
          <w:t>Brazil</w:t>
        </w:r>
        <w:proofErr w:type="spellEnd"/>
        <w:r>
          <w:rPr>
            <w:color w:val="2E75B6"/>
            <w:sz w:val="22"/>
            <w:szCs w:val="22"/>
            <w:u w:val="single"/>
          </w:rPr>
          <w:t xml:space="preserve"> 2</w:t>
        </w:r>
        <w:r>
          <w:rPr>
            <w:color w:val="2E75B6"/>
            <w:sz w:val="22"/>
            <w:szCs w:val="22"/>
            <w:u w:val="single"/>
          </w:rPr>
          <w:t>0</w:t>
        </w:r>
        <w:r>
          <w:rPr>
            <w:color w:val="2E75B6"/>
            <w:sz w:val="22"/>
            <w:szCs w:val="22"/>
            <w:u w:val="single"/>
          </w:rPr>
          <w:t>23</w:t>
        </w:r>
      </w:hyperlink>
    </w:p>
    <w:p w14:paraId="7022D26D" w14:textId="6B6262B8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hyperlink r:id="rId10">
        <w:proofErr w:type="spellStart"/>
        <w:r w:rsidR="006444DE">
          <w:rPr>
            <w:color w:val="2E75B6"/>
            <w:sz w:val="22"/>
            <w:szCs w:val="22"/>
            <w:u w:val="single"/>
          </w:rPr>
          <w:t>State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</w:t>
        </w:r>
        <w:proofErr w:type="spellStart"/>
        <w:r w:rsidR="006444DE">
          <w:rPr>
            <w:color w:val="2E75B6"/>
            <w:sz w:val="22"/>
            <w:szCs w:val="22"/>
            <w:u w:val="single"/>
          </w:rPr>
          <w:t>of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Dat</w:t>
        </w:r>
        <w:r w:rsidR="006444DE">
          <w:rPr>
            <w:color w:val="2E75B6"/>
            <w:sz w:val="22"/>
            <w:szCs w:val="22"/>
            <w:u w:val="single"/>
          </w:rPr>
          <w:t>a</w:t>
        </w:r>
        <w:r w:rsidR="006444DE">
          <w:rPr>
            <w:color w:val="2E75B6"/>
            <w:sz w:val="22"/>
            <w:szCs w:val="22"/>
            <w:u w:val="single"/>
          </w:rPr>
          <w:t xml:space="preserve"> </w:t>
        </w:r>
        <w:proofErr w:type="spellStart"/>
        <w:r w:rsidR="006444DE">
          <w:rPr>
            <w:color w:val="2E75B6"/>
            <w:sz w:val="22"/>
            <w:szCs w:val="22"/>
            <w:u w:val="single"/>
          </w:rPr>
          <w:t>Brazil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2024</w:t>
        </w:r>
      </w:hyperlink>
    </w:p>
    <w:p w14:paraId="02EF8188" w14:textId="43D9223E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hyperlink r:id="rId11">
        <w:proofErr w:type="spellStart"/>
        <w:r w:rsidR="006444DE">
          <w:rPr>
            <w:color w:val="2E75B6"/>
            <w:sz w:val="22"/>
            <w:szCs w:val="22"/>
            <w:u w:val="single"/>
          </w:rPr>
          <w:t>State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</w:t>
        </w:r>
        <w:proofErr w:type="spellStart"/>
        <w:r w:rsidR="006444DE">
          <w:rPr>
            <w:color w:val="2E75B6"/>
            <w:sz w:val="22"/>
            <w:szCs w:val="22"/>
            <w:u w:val="single"/>
          </w:rPr>
          <w:t>of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Data </w:t>
        </w:r>
        <w:proofErr w:type="spellStart"/>
        <w:r w:rsidR="006444DE">
          <w:rPr>
            <w:color w:val="2E75B6"/>
            <w:sz w:val="22"/>
            <w:szCs w:val="22"/>
            <w:u w:val="single"/>
          </w:rPr>
          <w:t>Brazil</w:t>
        </w:r>
        <w:proofErr w:type="spellEnd"/>
        <w:r w:rsidR="006444DE">
          <w:rPr>
            <w:color w:val="2E75B6"/>
            <w:sz w:val="22"/>
            <w:szCs w:val="22"/>
            <w:u w:val="single"/>
          </w:rPr>
          <w:t xml:space="preserve"> 2025</w:t>
        </w:r>
      </w:hyperlink>
    </w:p>
    <w:p w14:paraId="39490178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</w:pPr>
      <w:hyperlink r:id="rId12">
        <w:r>
          <w:rPr>
            <w:color w:val="2E75B6"/>
            <w:sz w:val="22"/>
            <w:szCs w:val="22"/>
            <w:u w:val="single"/>
          </w:rPr>
          <w:t>Catálogo compl</w:t>
        </w:r>
        <w:r>
          <w:rPr>
            <w:color w:val="2E75B6"/>
            <w:sz w:val="22"/>
            <w:szCs w:val="22"/>
            <w:u w:val="single"/>
          </w:rPr>
          <w:t>e</w:t>
        </w:r>
        <w:r>
          <w:rPr>
            <w:color w:val="2E75B6"/>
            <w:sz w:val="22"/>
            <w:szCs w:val="22"/>
            <w:u w:val="single"/>
          </w:rPr>
          <w:t xml:space="preserve">to de </w:t>
        </w:r>
        <w:proofErr w:type="spellStart"/>
        <w:r>
          <w:rPr>
            <w:color w:val="2E75B6"/>
            <w:sz w:val="22"/>
            <w:szCs w:val="22"/>
            <w:u w:val="single"/>
          </w:rPr>
          <w:t>datasets</w:t>
        </w:r>
        <w:proofErr w:type="spellEnd"/>
        <w:r>
          <w:rPr>
            <w:color w:val="2E75B6"/>
            <w:sz w:val="22"/>
            <w:szCs w:val="22"/>
            <w:u w:val="single"/>
          </w:rPr>
          <w:t xml:space="preserve"> Da</w:t>
        </w:r>
        <w:r>
          <w:rPr>
            <w:color w:val="2E75B6"/>
            <w:sz w:val="22"/>
            <w:szCs w:val="22"/>
            <w:u w:val="single"/>
          </w:rPr>
          <w:t>t</w:t>
        </w:r>
        <w:r>
          <w:rPr>
            <w:color w:val="2E75B6"/>
            <w:sz w:val="22"/>
            <w:szCs w:val="22"/>
            <w:u w:val="single"/>
          </w:rPr>
          <w:t xml:space="preserve">a Hackers no </w:t>
        </w:r>
        <w:proofErr w:type="spellStart"/>
        <w:r>
          <w:rPr>
            <w:color w:val="2E75B6"/>
            <w:sz w:val="22"/>
            <w:szCs w:val="22"/>
            <w:u w:val="single"/>
          </w:rPr>
          <w:t>Kaggle</w:t>
        </w:r>
        <w:proofErr w:type="spellEnd"/>
      </w:hyperlink>
    </w:p>
    <w:p w14:paraId="40CA21E0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Após o tratamento de qualidade descrito a seguir, a base final totaliza 14.002 respondentes válidos:</w:t>
      </w:r>
    </w:p>
    <w:tbl>
      <w:tblPr>
        <w:tblStyle w:val="a0"/>
        <w:tblW w:w="94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0"/>
        <w:gridCol w:w="2459"/>
        <w:gridCol w:w="2459"/>
        <w:gridCol w:w="2459"/>
      </w:tblGrid>
      <w:tr w:rsidR="00A96744" w14:paraId="3EA2ADBA" w14:textId="77777777">
        <w:trPr>
          <w:trHeight w:val="268"/>
          <w:tblHeader/>
        </w:trPr>
        <w:tc>
          <w:tcPr>
            <w:tcW w:w="2080" w:type="dxa"/>
            <w:shd w:val="clear" w:color="auto" w:fill="1F3864"/>
            <w:vAlign w:val="center"/>
          </w:tcPr>
          <w:p w14:paraId="25827195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Edição</w:t>
            </w:r>
          </w:p>
        </w:tc>
        <w:tc>
          <w:tcPr>
            <w:tcW w:w="2459" w:type="dxa"/>
            <w:shd w:val="clear" w:color="auto" w:fill="1F3864"/>
            <w:vAlign w:val="center"/>
          </w:tcPr>
          <w:p w14:paraId="184C277D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Respondentes brutos</w:t>
            </w:r>
          </w:p>
        </w:tc>
        <w:tc>
          <w:tcPr>
            <w:tcW w:w="2459" w:type="dxa"/>
            <w:shd w:val="clear" w:color="auto" w:fill="1F3864"/>
            <w:vAlign w:val="center"/>
          </w:tcPr>
          <w:p w14:paraId="3C93AF64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Duplicatas removidas</w:t>
            </w:r>
          </w:p>
        </w:tc>
        <w:tc>
          <w:tcPr>
            <w:tcW w:w="2459" w:type="dxa"/>
            <w:shd w:val="clear" w:color="auto" w:fill="1F3864"/>
            <w:vAlign w:val="center"/>
          </w:tcPr>
          <w:p w14:paraId="08BC660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Respondentes válidos</w:t>
            </w:r>
          </w:p>
        </w:tc>
      </w:tr>
      <w:tr w:rsidR="00A96744" w14:paraId="550E2F41" w14:textId="77777777">
        <w:trPr>
          <w:trHeight w:val="268"/>
        </w:trPr>
        <w:tc>
          <w:tcPr>
            <w:tcW w:w="2080" w:type="dxa"/>
            <w:vAlign w:val="center"/>
          </w:tcPr>
          <w:p w14:paraId="01EF7F3B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2023</w:t>
            </w:r>
          </w:p>
        </w:tc>
        <w:tc>
          <w:tcPr>
            <w:tcW w:w="2459" w:type="dxa"/>
            <w:vAlign w:val="center"/>
          </w:tcPr>
          <w:p w14:paraId="5BF0B8E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5.293</w:t>
            </w:r>
          </w:p>
        </w:tc>
        <w:tc>
          <w:tcPr>
            <w:tcW w:w="2459" w:type="dxa"/>
            <w:vAlign w:val="center"/>
          </w:tcPr>
          <w:p w14:paraId="3CF3224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0</w:t>
            </w:r>
          </w:p>
        </w:tc>
        <w:tc>
          <w:tcPr>
            <w:tcW w:w="2459" w:type="dxa"/>
            <w:vAlign w:val="center"/>
          </w:tcPr>
          <w:p w14:paraId="567802B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5.293</w:t>
            </w:r>
          </w:p>
        </w:tc>
      </w:tr>
      <w:tr w:rsidR="00A96744" w14:paraId="17601FA9" w14:textId="77777777">
        <w:trPr>
          <w:trHeight w:val="268"/>
        </w:trPr>
        <w:tc>
          <w:tcPr>
            <w:tcW w:w="2080" w:type="dxa"/>
            <w:vAlign w:val="center"/>
          </w:tcPr>
          <w:p w14:paraId="1C37B099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2024</w:t>
            </w:r>
          </w:p>
        </w:tc>
        <w:tc>
          <w:tcPr>
            <w:tcW w:w="2459" w:type="dxa"/>
            <w:vAlign w:val="center"/>
          </w:tcPr>
          <w:p w14:paraId="1F7EAB3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5.217</w:t>
            </w:r>
          </w:p>
        </w:tc>
        <w:tc>
          <w:tcPr>
            <w:tcW w:w="2459" w:type="dxa"/>
            <w:vAlign w:val="center"/>
          </w:tcPr>
          <w:p w14:paraId="597AF0F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</w:t>
            </w:r>
          </w:p>
        </w:tc>
        <w:tc>
          <w:tcPr>
            <w:tcW w:w="2459" w:type="dxa"/>
            <w:vAlign w:val="center"/>
          </w:tcPr>
          <w:p w14:paraId="5C7BE07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5.215</w:t>
            </w:r>
          </w:p>
        </w:tc>
      </w:tr>
      <w:tr w:rsidR="00A96744" w14:paraId="7CE4EE4C" w14:textId="77777777">
        <w:trPr>
          <w:trHeight w:val="268"/>
        </w:trPr>
        <w:tc>
          <w:tcPr>
            <w:tcW w:w="2080" w:type="dxa"/>
            <w:vAlign w:val="center"/>
          </w:tcPr>
          <w:p w14:paraId="5DAB60B9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2025</w:t>
            </w:r>
          </w:p>
        </w:tc>
        <w:tc>
          <w:tcPr>
            <w:tcW w:w="2459" w:type="dxa"/>
            <w:vAlign w:val="center"/>
          </w:tcPr>
          <w:p w14:paraId="12AA7A3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3.495</w:t>
            </w:r>
          </w:p>
        </w:tc>
        <w:tc>
          <w:tcPr>
            <w:tcW w:w="2459" w:type="dxa"/>
            <w:vAlign w:val="center"/>
          </w:tcPr>
          <w:p w14:paraId="3120589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</w:t>
            </w:r>
          </w:p>
        </w:tc>
        <w:tc>
          <w:tcPr>
            <w:tcW w:w="2459" w:type="dxa"/>
            <w:vAlign w:val="center"/>
          </w:tcPr>
          <w:p w14:paraId="40F472CD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3.494</w:t>
            </w:r>
          </w:p>
        </w:tc>
      </w:tr>
      <w:tr w:rsidR="00A96744" w14:paraId="03E425CF" w14:textId="77777777">
        <w:trPr>
          <w:trHeight w:val="268"/>
        </w:trPr>
        <w:tc>
          <w:tcPr>
            <w:tcW w:w="2080" w:type="dxa"/>
            <w:vAlign w:val="center"/>
          </w:tcPr>
          <w:p w14:paraId="7596D2EA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Total</w:t>
            </w:r>
          </w:p>
        </w:tc>
        <w:tc>
          <w:tcPr>
            <w:tcW w:w="2459" w:type="dxa"/>
            <w:vAlign w:val="center"/>
          </w:tcPr>
          <w:p w14:paraId="36265E35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14.005</w:t>
            </w:r>
          </w:p>
        </w:tc>
        <w:tc>
          <w:tcPr>
            <w:tcW w:w="2459" w:type="dxa"/>
            <w:vAlign w:val="center"/>
          </w:tcPr>
          <w:p w14:paraId="78F8F330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3</w:t>
            </w:r>
          </w:p>
        </w:tc>
        <w:tc>
          <w:tcPr>
            <w:tcW w:w="2459" w:type="dxa"/>
            <w:vAlign w:val="center"/>
          </w:tcPr>
          <w:p w14:paraId="019673C6" w14:textId="77777777" w:rsidR="00A96744" w:rsidRDefault="00000000" w:rsidP="0070763A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14.002</w:t>
            </w:r>
          </w:p>
        </w:tc>
      </w:tr>
    </w:tbl>
    <w:p w14:paraId="628B367D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1.1 Metodologia e Rigor Analítico</w:t>
      </w:r>
    </w:p>
    <w:p w14:paraId="11B638E8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O tratamento dos dados seguiu princípios rigorosos de engenharia de dados para garantir a confiabilidade das conclusões:</w:t>
      </w:r>
    </w:p>
    <w:p w14:paraId="16B1C831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Deduplicação realizada sobre a linha completa original, antes de qualquer redução para colunas de negócio, evitando falsos positivos.</w:t>
      </w:r>
    </w:p>
    <w:p w14:paraId="3D59C436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Tratamento diferenciado de nulos: "estrutural" (ex.: cargo de quem não está empregado) tratado como "Não aplicável"; "simples" (ausência de resposta) tratado como "Não informado".</w:t>
      </w:r>
    </w:p>
    <w:p w14:paraId="37C91F3D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Harmonização de rótulos que mudam de redação entre edições da pesquisa, preservando a comparabilidade entre os três anos.</w:t>
      </w:r>
    </w:p>
    <w:p w14:paraId="39C035E9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Perguntas de múltipla escolha tratadas em formato longo, permitindo contagem correta de menções.</w:t>
      </w:r>
    </w:p>
    <w:p w14:paraId="1DE101D1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 xml:space="preserve">Consultas de validação executadas diretamente no 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Athena, confirmando a consistência dos indicadores extraídos das tabelas Gold.</w:t>
      </w:r>
    </w:p>
    <w:p w14:paraId="5C0F5E0E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54982297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2. Arquitetura da Solução AWS</w:t>
      </w:r>
    </w:p>
    <w:p w14:paraId="6B73DD16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 xml:space="preserve">A solução foi construída como um Data Lake </w:t>
      </w:r>
      <w:proofErr w:type="spellStart"/>
      <w:r>
        <w:rPr>
          <w:color w:val="1F1F1F"/>
          <w:sz w:val="22"/>
          <w:szCs w:val="22"/>
        </w:rPr>
        <w:t>serverless</w:t>
      </w:r>
      <w:proofErr w:type="spellEnd"/>
      <w:r>
        <w:rPr>
          <w:color w:val="1F1F1F"/>
          <w:sz w:val="22"/>
          <w:szCs w:val="22"/>
        </w:rPr>
        <w:t xml:space="preserve"> em camadas (Bronze, Silver e Gold), inteiramente no ambiente AWS </w:t>
      </w:r>
      <w:proofErr w:type="spellStart"/>
      <w:r>
        <w:rPr>
          <w:color w:val="1F1F1F"/>
          <w:sz w:val="22"/>
          <w:szCs w:val="22"/>
        </w:rPr>
        <w:t>Academy</w:t>
      </w:r>
      <w:proofErr w:type="spellEnd"/>
      <w:r>
        <w:rPr>
          <w:color w:val="1F1F1F"/>
          <w:sz w:val="22"/>
          <w:szCs w:val="22"/>
        </w:rPr>
        <w:t xml:space="preserve"> Lab. A figura a seguir apresenta o diagrama completo da arquitetura, evidenciando os serviços utilizados e o fluxo de dados desde a ingestão até o consumo analítico.</w:t>
      </w:r>
    </w:p>
    <w:p w14:paraId="56F573DA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69496799" wp14:editId="40184275">
            <wp:extent cx="6197661" cy="3142646"/>
            <wp:effectExtent l="0" t="0" r="0" b="0"/>
            <wp:docPr id="2109731640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7661" cy="3142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A4A8A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1 — Diagrama da arquitetura da solução (elaborado em Draw.io).</w:t>
      </w:r>
    </w:p>
    <w:p w14:paraId="05BA4988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2.1 Camadas do Data Lake</w:t>
      </w:r>
    </w:p>
    <w:p w14:paraId="56A39F20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Bronze (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S3): dado bruto exatamente como recebido do </w:t>
      </w:r>
      <w:proofErr w:type="spellStart"/>
      <w:r>
        <w:rPr>
          <w:color w:val="1F1F1F"/>
          <w:sz w:val="22"/>
          <w:szCs w:val="22"/>
        </w:rPr>
        <w:t>Kaggle</w:t>
      </w:r>
      <w:proofErr w:type="spellEnd"/>
      <w:r>
        <w:rPr>
          <w:color w:val="1F1F1F"/>
          <w:sz w:val="22"/>
          <w:szCs w:val="22"/>
        </w:rPr>
        <w:t>, organizado por ano da pesquisa, preservando imutabilidade.</w:t>
      </w:r>
    </w:p>
    <w:p w14:paraId="5E1C7BB8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Silver (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S3, Parquet particionado): dado tratado — nomes de coluna padronizados, nulos tratados, categorias harmonizadas — gerado por um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Job</w:t>
      </w:r>
      <w:proofErr w:type="spellEnd"/>
      <w:r>
        <w:rPr>
          <w:color w:val="1F1F1F"/>
          <w:sz w:val="22"/>
          <w:szCs w:val="22"/>
        </w:rPr>
        <w:t xml:space="preserve"> em </w:t>
      </w:r>
      <w:proofErr w:type="spellStart"/>
      <w:r>
        <w:rPr>
          <w:color w:val="1F1F1F"/>
          <w:sz w:val="22"/>
          <w:szCs w:val="22"/>
        </w:rPr>
        <w:t>PySpark</w:t>
      </w:r>
      <w:proofErr w:type="spellEnd"/>
      <w:r>
        <w:rPr>
          <w:color w:val="1F1F1F"/>
          <w:sz w:val="22"/>
          <w:szCs w:val="22"/>
        </w:rPr>
        <w:t>.</w:t>
      </w:r>
    </w:p>
    <w:p w14:paraId="05C32DAB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Gold (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S3, Parquet particionado): dez tabelas agregadas, uma por recorte de negócio, geradas em um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Notebook interativo.</w:t>
      </w:r>
      <w:r>
        <w:rPr>
          <w:color w:val="000000"/>
        </w:rPr>
        <w:t xml:space="preserve"> </w:t>
      </w:r>
    </w:p>
    <w:p w14:paraId="2BBBBB36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7DBA663B" wp14:editId="7BA1B900">
            <wp:extent cx="6150864" cy="1598295"/>
            <wp:effectExtent l="0" t="0" r="2540" b="1905"/>
            <wp:docPr id="21097316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199" cy="1599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9C209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 xml:space="preserve">Evidência de execução — Estrutura de pastas no </w:t>
      </w:r>
      <w:proofErr w:type="spellStart"/>
      <w:r>
        <w:rPr>
          <w:i/>
          <w:iCs/>
          <w:color w:val="5A5A5A"/>
          <w:sz w:val="18"/>
          <w:szCs w:val="18"/>
        </w:rPr>
        <w:t>bucket</w:t>
      </w:r>
      <w:proofErr w:type="spellEnd"/>
      <w:r>
        <w:rPr>
          <w:i/>
          <w:iCs/>
          <w:color w:val="5A5A5A"/>
          <w:sz w:val="18"/>
          <w:szCs w:val="18"/>
        </w:rPr>
        <w:t xml:space="preserve"> S3 (bronze, </w:t>
      </w:r>
      <w:proofErr w:type="spellStart"/>
      <w:r>
        <w:rPr>
          <w:i/>
          <w:iCs/>
          <w:color w:val="5A5A5A"/>
          <w:sz w:val="18"/>
          <w:szCs w:val="18"/>
        </w:rPr>
        <w:t>gold</w:t>
      </w:r>
      <w:proofErr w:type="spellEnd"/>
      <w:r>
        <w:rPr>
          <w:i/>
          <w:iCs/>
          <w:color w:val="5A5A5A"/>
          <w:sz w:val="18"/>
          <w:szCs w:val="18"/>
        </w:rPr>
        <w:t xml:space="preserve">, scripts, </w:t>
      </w:r>
      <w:proofErr w:type="spellStart"/>
      <w:r>
        <w:rPr>
          <w:i/>
          <w:iCs/>
          <w:color w:val="5A5A5A"/>
          <w:sz w:val="18"/>
          <w:szCs w:val="18"/>
        </w:rPr>
        <w:t>silver</w:t>
      </w:r>
      <w:proofErr w:type="spellEnd"/>
      <w:r>
        <w:rPr>
          <w:i/>
          <w:iCs/>
          <w:color w:val="5A5A5A"/>
          <w:sz w:val="18"/>
          <w:szCs w:val="18"/>
        </w:rPr>
        <w:t>).</w:t>
      </w:r>
    </w:p>
    <w:p w14:paraId="7D65AEAE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lastRenderedPageBreak/>
        <w:t>2.2 Catalogação e Consulta</w:t>
      </w:r>
    </w:p>
    <w:p w14:paraId="40EB3A21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Um catálogo central do AWS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Data </w:t>
      </w:r>
      <w:proofErr w:type="spellStart"/>
      <w:r>
        <w:rPr>
          <w:color w:val="1F1F1F"/>
          <w:sz w:val="22"/>
          <w:szCs w:val="22"/>
        </w:rPr>
        <w:t>Catalog</w:t>
      </w:r>
      <w:proofErr w:type="spellEnd"/>
      <w:r>
        <w:rPr>
          <w:color w:val="1F1F1F"/>
          <w:sz w:val="22"/>
          <w:szCs w:val="22"/>
        </w:rPr>
        <w:t xml:space="preserve"> (</w:t>
      </w:r>
      <w:proofErr w:type="spellStart"/>
      <w:r>
        <w:rPr>
          <w:color w:val="1F1F1F"/>
          <w:sz w:val="22"/>
          <w:szCs w:val="22"/>
        </w:rPr>
        <w:t>bronze_db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silver_db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gold_db</w:t>
      </w:r>
      <w:proofErr w:type="spellEnd"/>
      <w:r>
        <w:rPr>
          <w:color w:val="1F1F1F"/>
          <w:sz w:val="22"/>
          <w:szCs w:val="22"/>
        </w:rPr>
        <w:t xml:space="preserve">) cataloga todas as tabelas via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Crawler</w:t>
      </w:r>
      <w:proofErr w:type="spellEnd"/>
      <w:r>
        <w:rPr>
          <w:color w:val="1F1F1F"/>
          <w:sz w:val="22"/>
          <w:szCs w:val="22"/>
        </w:rPr>
        <w:t xml:space="preserve">, permitindo consulta direta via 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Athena — camada utilizada para validar os indicadores deste relatório diretamente sobre os dados processados na nuvem.</w:t>
      </w:r>
    </w:p>
    <w:p w14:paraId="1B21D3A4" w14:textId="06431D87" w:rsidR="00A96744" w:rsidRDefault="00000000" w:rsidP="004A5A33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D4A9FB0" wp14:editId="52DCE3E6">
            <wp:extent cx="5943600" cy="1989455"/>
            <wp:effectExtent l="0" t="0" r="0" b="0"/>
            <wp:docPr id="21097316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0F146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 xml:space="preserve">Evidência de execução — </w:t>
      </w:r>
      <w:proofErr w:type="spellStart"/>
      <w:r>
        <w:rPr>
          <w:i/>
          <w:iCs/>
          <w:color w:val="5A5A5A"/>
          <w:sz w:val="18"/>
          <w:szCs w:val="18"/>
        </w:rPr>
        <w:t>Databases</w:t>
      </w:r>
      <w:proofErr w:type="spellEnd"/>
      <w:r>
        <w:rPr>
          <w:i/>
          <w:iCs/>
          <w:color w:val="5A5A5A"/>
          <w:sz w:val="18"/>
          <w:szCs w:val="18"/>
        </w:rPr>
        <w:t xml:space="preserve"> do </w:t>
      </w:r>
      <w:proofErr w:type="spellStart"/>
      <w:r>
        <w:rPr>
          <w:i/>
          <w:iCs/>
          <w:color w:val="5A5A5A"/>
          <w:sz w:val="18"/>
          <w:szCs w:val="18"/>
        </w:rPr>
        <w:t>Glue</w:t>
      </w:r>
      <w:proofErr w:type="spellEnd"/>
      <w:r>
        <w:rPr>
          <w:i/>
          <w:iCs/>
          <w:color w:val="5A5A5A"/>
          <w:sz w:val="18"/>
          <w:szCs w:val="18"/>
        </w:rPr>
        <w:t xml:space="preserve"> Data </w:t>
      </w:r>
      <w:proofErr w:type="spellStart"/>
      <w:r>
        <w:rPr>
          <w:i/>
          <w:iCs/>
          <w:color w:val="5A5A5A"/>
          <w:sz w:val="18"/>
          <w:szCs w:val="18"/>
        </w:rPr>
        <w:t>Catalog</w:t>
      </w:r>
      <w:proofErr w:type="spellEnd"/>
      <w:r>
        <w:rPr>
          <w:i/>
          <w:iCs/>
          <w:color w:val="5A5A5A"/>
          <w:sz w:val="18"/>
          <w:szCs w:val="18"/>
        </w:rPr>
        <w:t xml:space="preserve"> (</w:t>
      </w:r>
      <w:proofErr w:type="spellStart"/>
      <w:r>
        <w:rPr>
          <w:i/>
          <w:iCs/>
          <w:color w:val="5A5A5A"/>
          <w:sz w:val="18"/>
          <w:szCs w:val="18"/>
        </w:rPr>
        <w:t>bronze_db</w:t>
      </w:r>
      <w:proofErr w:type="spellEnd"/>
      <w:r>
        <w:rPr>
          <w:i/>
          <w:iCs/>
          <w:color w:val="5A5A5A"/>
          <w:sz w:val="18"/>
          <w:szCs w:val="18"/>
        </w:rPr>
        <w:t xml:space="preserve">, </w:t>
      </w:r>
      <w:proofErr w:type="spellStart"/>
      <w:r>
        <w:rPr>
          <w:i/>
          <w:iCs/>
          <w:color w:val="5A5A5A"/>
          <w:sz w:val="18"/>
          <w:szCs w:val="18"/>
        </w:rPr>
        <w:t>silver_db</w:t>
      </w:r>
      <w:proofErr w:type="spellEnd"/>
      <w:r>
        <w:rPr>
          <w:i/>
          <w:iCs/>
          <w:color w:val="5A5A5A"/>
          <w:sz w:val="18"/>
          <w:szCs w:val="18"/>
        </w:rPr>
        <w:t xml:space="preserve">, </w:t>
      </w:r>
      <w:proofErr w:type="spellStart"/>
      <w:r>
        <w:rPr>
          <w:i/>
          <w:iCs/>
          <w:color w:val="5A5A5A"/>
          <w:sz w:val="18"/>
          <w:szCs w:val="18"/>
        </w:rPr>
        <w:t>gold_db</w:t>
      </w:r>
      <w:proofErr w:type="spellEnd"/>
      <w:r>
        <w:rPr>
          <w:i/>
          <w:iCs/>
          <w:color w:val="5A5A5A"/>
          <w:sz w:val="18"/>
          <w:szCs w:val="18"/>
        </w:rPr>
        <w:t>).</w:t>
      </w:r>
    </w:p>
    <w:p w14:paraId="33F4FB33" w14:textId="77777777" w:rsidR="00A96744" w:rsidRDefault="00000000" w:rsidP="004A5A33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7F1FDAE6" wp14:editId="041D9C6C">
            <wp:extent cx="5943600" cy="1715770"/>
            <wp:effectExtent l="0" t="0" r="0" b="0"/>
            <wp:docPr id="210973164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5953D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 xml:space="preserve">Evidência de execução — </w:t>
      </w:r>
      <w:proofErr w:type="spellStart"/>
      <w:r>
        <w:rPr>
          <w:i/>
          <w:iCs/>
          <w:color w:val="5A5A5A"/>
          <w:sz w:val="18"/>
          <w:szCs w:val="18"/>
        </w:rPr>
        <w:t>Crawlers</w:t>
      </w:r>
      <w:proofErr w:type="spellEnd"/>
      <w:r>
        <w:rPr>
          <w:i/>
          <w:iCs/>
          <w:color w:val="5A5A5A"/>
          <w:sz w:val="18"/>
          <w:szCs w:val="18"/>
        </w:rPr>
        <w:t xml:space="preserve"> configurados (</w:t>
      </w:r>
      <w:proofErr w:type="spellStart"/>
      <w:r>
        <w:rPr>
          <w:i/>
          <w:iCs/>
          <w:color w:val="5A5A5A"/>
          <w:sz w:val="18"/>
          <w:szCs w:val="18"/>
        </w:rPr>
        <w:t>crawler</w:t>
      </w:r>
      <w:proofErr w:type="spellEnd"/>
      <w:r>
        <w:rPr>
          <w:i/>
          <w:iCs/>
          <w:color w:val="5A5A5A"/>
          <w:sz w:val="18"/>
          <w:szCs w:val="18"/>
        </w:rPr>
        <w:t xml:space="preserve">-bronze, </w:t>
      </w:r>
      <w:proofErr w:type="spellStart"/>
      <w:r>
        <w:rPr>
          <w:i/>
          <w:iCs/>
          <w:color w:val="5A5A5A"/>
          <w:sz w:val="18"/>
          <w:szCs w:val="18"/>
        </w:rPr>
        <w:t>crawler-silver</w:t>
      </w:r>
      <w:proofErr w:type="spellEnd"/>
      <w:r>
        <w:rPr>
          <w:i/>
          <w:iCs/>
          <w:color w:val="5A5A5A"/>
          <w:sz w:val="18"/>
          <w:szCs w:val="18"/>
        </w:rPr>
        <w:t xml:space="preserve">, </w:t>
      </w:r>
      <w:proofErr w:type="spellStart"/>
      <w:r>
        <w:rPr>
          <w:i/>
          <w:iCs/>
          <w:color w:val="5A5A5A"/>
          <w:sz w:val="18"/>
          <w:szCs w:val="18"/>
        </w:rPr>
        <w:t>crawler-gold</w:t>
      </w:r>
      <w:proofErr w:type="spellEnd"/>
      <w:r>
        <w:rPr>
          <w:i/>
          <w:iCs/>
          <w:color w:val="5A5A5A"/>
          <w:sz w:val="18"/>
          <w:szCs w:val="18"/>
        </w:rPr>
        <w:t xml:space="preserve">), todos com status </w:t>
      </w:r>
      <w:proofErr w:type="spellStart"/>
      <w:r>
        <w:rPr>
          <w:i/>
          <w:iCs/>
          <w:color w:val="5A5A5A"/>
          <w:sz w:val="18"/>
          <w:szCs w:val="18"/>
        </w:rPr>
        <w:t>Succeeded</w:t>
      </w:r>
      <w:proofErr w:type="spellEnd"/>
      <w:r>
        <w:rPr>
          <w:i/>
          <w:iCs/>
          <w:color w:val="5A5A5A"/>
          <w:sz w:val="18"/>
          <w:szCs w:val="18"/>
        </w:rPr>
        <w:t>.</w:t>
      </w:r>
    </w:p>
    <w:p w14:paraId="664B2A76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2.3 Ferramentas de Processamento</w:t>
      </w:r>
    </w:p>
    <w:p w14:paraId="6CA8E0E2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sdt>
        <w:sdtPr>
          <w:tag w:val="goog_rdk_0"/>
          <w:id w:val="1455034496"/>
        </w:sdtPr>
        <w:sdtContent>
          <w:r>
            <w:rPr>
              <w:rFonts w:ascii="Cardo" w:eastAsia="Cardo" w:hAnsi="Cardo" w:cs="Cardo"/>
              <w:color w:val="1F1F1F"/>
              <w:sz w:val="22"/>
              <w:szCs w:val="22"/>
            </w:rPr>
            <w:t xml:space="preserve">Todo o processamento distribuído foi realizado em </w:t>
          </w:r>
          <w:proofErr w:type="spellStart"/>
          <w:r>
            <w:rPr>
              <w:rFonts w:ascii="Cardo" w:eastAsia="Cardo" w:hAnsi="Cardo" w:cs="Cardo"/>
              <w:color w:val="1F1F1F"/>
              <w:sz w:val="22"/>
              <w:szCs w:val="22"/>
            </w:rPr>
            <w:t>PySpark</w:t>
          </w:r>
          <w:proofErr w:type="spellEnd"/>
          <w:r>
            <w:rPr>
              <w:rFonts w:ascii="Cardo" w:eastAsia="Cardo" w:hAnsi="Cardo" w:cs="Cardo"/>
              <w:color w:val="1F1F1F"/>
              <w:sz w:val="22"/>
              <w:szCs w:val="22"/>
            </w:rPr>
            <w:t xml:space="preserve">, tanto no </w:t>
          </w:r>
          <w:proofErr w:type="spellStart"/>
          <w:r>
            <w:rPr>
              <w:rFonts w:ascii="Cardo" w:eastAsia="Cardo" w:hAnsi="Cardo" w:cs="Cardo"/>
              <w:color w:val="1F1F1F"/>
              <w:sz w:val="22"/>
              <w:szCs w:val="22"/>
            </w:rPr>
            <w:t>Glue</w:t>
          </w:r>
          <w:proofErr w:type="spellEnd"/>
          <w:r>
            <w:rPr>
              <w:rFonts w:ascii="Cardo" w:eastAsia="Cardo" w:hAnsi="Cardo" w:cs="Cardo"/>
              <w:color w:val="1F1F1F"/>
              <w:sz w:val="22"/>
              <w:szCs w:val="22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1F1F1F"/>
              <w:sz w:val="22"/>
              <w:szCs w:val="22"/>
            </w:rPr>
            <w:t>Job</w:t>
          </w:r>
          <w:proofErr w:type="spellEnd"/>
          <w:r>
            <w:rPr>
              <w:rFonts w:ascii="Cardo" w:eastAsia="Cardo" w:hAnsi="Cardo" w:cs="Cardo"/>
              <w:color w:val="1F1F1F"/>
              <w:sz w:val="22"/>
              <w:szCs w:val="22"/>
            </w:rPr>
            <w:t xml:space="preserve"> de ETL (Bronze → Silver) quanto no </w:t>
          </w:r>
          <w:proofErr w:type="spellStart"/>
          <w:r>
            <w:rPr>
              <w:rFonts w:ascii="Cardo" w:eastAsia="Cardo" w:hAnsi="Cardo" w:cs="Cardo"/>
              <w:color w:val="1F1F1F"/>
              <w:sz w:val="22"/>
              <w:szCs w:val="22"/>
            </w:rPr>
            <w:t>Glue</w:t>
          </w:r>
          <w:proofErr w:type="spellEnd"/>
          <w:r>
            <w:rPr>
              <w:rFonts w:ascii="Cardo" w:eastAsia="Cardo" w:hAnsi="Cardo" w:cs="Cardo"/>
              <w:color w:val="1F1F1F"/>
              <w:sz w:val="22"/>
              <w:szCs w:val="22"/>
            </w:rPr>
            <w:t xml:space="preserve"> Notebook de modelagem analítica (Silver → Gold). Os scripts e notebooks utilizados são entregues em anexo a este relatório.</w:t>
          </w:r>
        </w:sdtContent>
      </w:sdt>
    </w:p>
    <w:p w14:paraId="25C82D26" w14:textId="77777777" w:rsidR="00A96744" w:rsidRDefault="00000000" w:rsidP="004A5A33">
      <w:pPr>
        <w:spacing w:after="20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7F06A03D" wp14:editId="3C3E4F87">
            <wp:extent cx="5943600" cy="2361565"/>
            <wp:effectExtent l="0" t="0" r="0" b="0"/>
            <wp:docPr id="21097316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8C5C7" w14:textId="77777777" w:rsidR="00A96744" w:rsidRDefault="00000000" w:rsidP="004A5A33">
      <w:pPr>
        <w:spacing w:after="250" w:line="276" w:lineRule="auto"/>
        <w:jc w:val="center"/>
      </w:pPr>
      <w:sdt>
        <w:sdtPr>
          <w:tag w:val="goog_rdk_1"/>
          <w:id w:val="1038603289"/>
        </w:sdtPr>
        <w:sdtContent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 xml:space="preserve">Evidência de execução — Jobs e notebooks criados no AWS </w:t>
          </w:r>
          <w:proofErr w:type="spellStart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>Glue</w:t>
          </w:r>
          <w:proofErr w:type="spellEnd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 xml:space="preserve"> Studio (ETL </w:t>
          </w:r>
          <w:proofErr w:type="spellStart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>Bronze→Silver</w:t>
          </w:r>
          <w:proofErr w:type="spellEnd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 xml:space="preserve"> e modelagem </w:t>
          </w:r>
          <w:proofErr w:type="spellStart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>Silver→Gold</w:t>
          </w:r>
          <w:proofErr w:type="spellEnd"/>
          <w:r>
            <w:rPr>
              <w:rFonts w:ascii="Cardo" w:eastAsia="Cardo" w:hAnsi="Cardo" w:cs="Cardo"/>
              <w:i/>
              <w:iCs/>
              <w:color w:val="5A5A5A"/>
              <w:sz w:val="18"/>
              <w:szCs w:val="18"/>
            </w:rPr>
            <w:t>).</w:t>
          </w:r>
        </w:sdtContent>
      </w:sdt>
    </w:p>
    <w:p w14:paraId="334814E6" w14:textId="31A1B0B4" w:rsidR="00A96744" w:rsidRDefault="001A389E" w:rsidP="0070763A">
      <w:pPr>
        <w:spacing w:after="200" w:line="276" w:lineRule="auto"/>
        <w:jc w:val="both"/>
      </w:pPr>
      <w:r w:rsidRPr="003E7639">
        <w:drawing>
          <wp:inline distT="0" distB="0" distL="0" distR="0" wp14:anchorId="2304ACD4" wp14:editId="5276082A">
            <wp:extent cx="5943600" cy="2137410"/>
            <wp:effectExtent l="0" t="0" r="0" b="0"/>
            <wp:docPr id="1063426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6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7878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Evidência de execução — As 10 tabelas agregadas gravadas na camada Gold do S3.</w:t>
      </w:r>
    </w:p>
    <w:p w14:paraId="63588748" w14:textId="77777777" w:rsidR="00A96744" w:rsidRDefault="00A96744" w:rsidP="0070763A">
      <w:pPr>
        <w:spacing w:after="200" w:line="276" w:lineRule="auto"/>
        <w:jc w:val="both"/>
      </w:pPr>
    </w:p>
    <w:p w14:paraId="564AC061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0CC3204F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3. Como está estruturado o mercado brasileiro de Dados?</w:t>
      </w:r>
    </w:p>
    <w:p w14:paraId="34BB2CB9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O mercado brasileiro de dados apresenta forte concentração setorial e predomínio de grandes corporações — padrão consistente nas três edições da pesquisa.</w:t>
      </w:r>
    </w:p>
    <w:p w14:paraId="0BAF8DA0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48DEE7A1" wp14:editId="2A68E39B">
            <wp:extent cx="4457700" cy="2476500"/>
            <wp:effectExtent l="0" t="0" r="0" b="0"/>
            <wp:docPr id="21097316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8F37C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2 — Distribuição de profissionais de dados por setor de atuação (soma 2023–2025).</w:t>
      </w:r>
    </w:p>
    <w:p w14:paraId="6601DD5F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Concentração setorial: </w:t>
      </w:r>
      <w:r>
        <w:rPr>
          <w:color w:val="1F1F1F"/>
          <w:sz w:val="22"/>
          <w:szCs w:val="22"/>
        </w:rPr>
        <w:t>Finanças/Bancos (18,3%) e Tecnologia (16,9%) concentram, juntos, cerca de 35% de todos os profissionais de dados, o que mostra a maturidade desses setores no que diz respeito à análise de dados e inteligência corporativa. O restante do mercado está pulverizado em mais de 17 outros setores, cada um com participação inferior a 8%.</w:t>
      </w:r>
    </w:p>
    <w:p w14:paraId="709672FB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Porte de empresa: </w:t>
      </w:r>
      <w:r>
        <w:rPr>
          <w:b/>
          <w:bCs/>
          <w:color w:val="C00000"/>
          <w:sz w:val="22"/>
          <w:szCs w:val="22"/>
        </w:rPr>
        <w:t xml:space="preserve">41% </w:t>
      </w:r>
      <w:r>
        <w:rPr>
          <w:color w:val="1F1F1F"/>
          <w:sz w:val="22"/>
          <w:szCs w:val="22"/>
        </w:rPr>
        <w:t>dos entrevistados trabalham em empresas com mais de 3.000 funcionários, quase o triplo da segunda faixa de porte mais comum. Isso indica que times de dados estruturados ainda são em sua maioria uma realidade de grandes corporações no Brasil, e não de pequenas e médias empresas.</w:t>
      </w:r>
    </w:p>
    <w:p w14:paraId="56C5EF7C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Implicação estratégica: </w:t>
      </w:r>
      <w:r>
        <w:rPr>
          <w:color w:val="1F1F1F"/>
          <w:sz w:val="22"/>
          <w:szCs w:val="22"/>
        </w:rPr>
        <w:t>a Instituição Financeira, por seu setor de atuação, já se encontra posicionada entre os empregadores mais competitivos e experientes na atração desse tipo de talento. O desafio deixa de ser construir atratividade setorial, e passa a ser sobre como diferenciar-se dentro de um grupo de concorrentes já sofisticado.</w:t>
      </w:r>
    </w:p>
    <w:p w14:paraId="02813BE5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32E37D7C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4. Quais perfis profissionais são mais valorizados pelo mercado?</w:t>
      </w:r>
    </w:p>
    <w:p w14:paraId="5C51C7DA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Entre os entrevistados com cargo aplicável (ou seja, excluindo quem está desempregado, é apenas estudante ou pesquisador), observa-se uma hierarquia clara de cargos e uma progressão salarial não linear ao longo da carreira.</w:t>
      </w:r>
    </w:p>
    <w:p w14:paraId="486CE3D1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14F07C2A" wp14:editId="68D81C57">
            <wp:extent cx="4457700" cy="2486025"/>
            <wp:effectExtent l="0" t="0" r="0" b="0"/>
            <wp:docPr id="210973164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C98CD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3 — Distribuição de profissionais por cargo ocupado (Top 5 de 18 cargos, soma 2023–2025).</w:t>
      </w:r>
    </w:p>
    <w:p w14:paraId="252EBC14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Cargo mais comum: </w:t>
      </w:r>
      <w:r>
        <w:rPr>
          <w:color w:val="1F1F1F"/>
          <w:sz w:val="22"/>
          <w:szCs w:val="22"/>
        </w:rPr>
        <w:t>Analista de Dados/Data Analyst é líder representando 24,2% dos entrevistados com cargo aplicável, seguido por Cientista de Dados com 17,7% e Engenheiro de Dados com 16,7% (já com rótulos de nomenclatura aplicados, visto que variam ligeiramente entre as edições da pesquisa).</w:t>
      </w:r>
    </w:p>
    <w:p w14:paraId="0CF2094F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4.1 Progressão Salarial por Senioridade</w:t>
      </w:r>
    </w:p>
    <w:p w14:paraId="3C5BDE76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 análise da faixa salarial predominante em cada nível de senioridade revela onde estão os maiores saltos de remuneração ao longo da carreira:</w:t>
      </w:r>
    </w:p>
    <w:tbl>
      <w:tblPr>
        <w:tblStyle w:val="a1"/>
        <w:tblW w:w="8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800"/>
        <w:gridCol w:w="2600"/>
      </w:tblGrid>
      <w:tr w:rsidR="00A96744" w14:paraId="53EF2CB6" w14:textId="77777777"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B7228A3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Senioridade</w:t>
            </w:r>
          </w:p>
        </w:tc>
        <w:tc>
          <w:tcPr>
            <w:tcW w:w="3800" w:type="dxa"/>
            <w:shd w:val="clear" w:color="auto" w:fill="1F3864"/>
            <w:vAlign w:val="center"/>
          </w:tcPr>
          <w:p w14:paraId="558DD1E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Faixa salarial mais comum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3CBA58D8" w14:textId="77777777" w:rsidR="00A96744" w:rsidRDefault="00000000" w:rsidP="0070763A">
            <w:pPr>
              <w:spacing w:line="276" w:lineRule="auto"/>
              <w:jc w:val="both"/>
            </w:pPr>
            <w:sdt>
              <w:sdtPr>
                <w:tag w:val="goog_rdk_2"/>
                <w:id w:val="-763429467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  <w:color w:val="FFFFFF"/>
                  </w:rPr>
                  <w:t>% em faixa alta (≥R$12.000/mês)</w:t>
                </w:r>
              </w:sdtContent>
            </w:sdt>
          </w:p>
        </w:tc>
      </w:tr>
      <w:tr w:rsidR="00A96744" w14:paraId="3E42267C" w14:textId="77777777">
        <w:tc>
          <w:tcPr>
            <w:tcW w:w="2400" w:type="dxa"/>
            <w:vAlign w:val="center"/>
          </w:tcPr>
          <w:p w14:paraId="19931E95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Júnior</w:t>
            </w:r>
          </w:p>
        </w:tc>
        <w:tc>
          <w:tcPr>
            <w:tcW w:w="3800" w:type="dxa"/>
            <w:vAlign w:val="center"/>
          </w:tcPr>
          <w:p w14:paraId="3C08F32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R$4.001 a R$6.000/mês</w:t>
            </w:r>
          </w:p>
        </w:tc>
        <w:tc>
          <w:tcPr>
            <w:tcW w:w="2600" w:type="dxa"/>
            <w:vAlign w:val="center"/>
          </w:tcPr>
          <w:p w14:paraId="3E64DB69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1,2%</w:t>
            </w:r>
          </w:p>
        </w:tc>
      </w:tr>
      <w:tr w:rsidR="00A96744" w14:paraId="5346B7D0" w14:textId="77777777">
        <w:tc>
          <w:tcPr>
            <w:tcW w:w="2400" w:type="dxa"/>
            <w:vAlign w:val="center"/>
          </w:tcPr>
          <w:p w14:paraId="0ACB26A3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Pleno</w:t>
            </w:r>
          </w:p>
        </w:tc>
        <w:tc>
          <w:tcPr>
            <w:tcW w:w="3800" w:type="dxa"/>
            <w:vAlign w:val="center"/>
          </w:tcPr>
          <w:p w14:paraId="2E95E88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R$8.001 a R$12.000/mês</w:t>
            </w:r>
          </w:p>
        </w:tc>
        <w:tc>
          <w:tcPr>
            <w:tcW w:w="2600" w:type="dxa"/>
            <w:vAlign w:val="center"/>
          </w:tcPr>
          <w:p w14:paraId="48071894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9,4%</w:t>
            </w:r>
          </w:p>
        </w:tc>
      </w:tr>
      <w:tr w:rsidR="00A96744" w14:paraId="2BB69ADE" w14:textId="77777777">
        <w:tc>
          <w:tcPr>
            <w:tcW w:w="2400" w:type="dxa"/>
            <w:vAlign w:val="center"/>
          </w:tcPr>
          <w:p w14:paraId="5B067C6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Sênior</w:t>
            </w:r>
          </w:p>
        </w:tc>
        <w:tc>
          <w:tcPr>
            <w:tcW w:w="3800" w:type="dxa"/>
            <w:vAlign w:val="center"/>
          </w:tcPr>
          <w:p w14:paraId="22E067F2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R$8.001 a R$12.000/mês</w:t>
            </w:r>
          </w:p>
        </w:tc>
        <w:tc>
          <w:tcPr>
            <w:tcW w:w="2600" w:type="dxa"/>
            <w:vAlign w:val="center"/>
          </w:tcPr>
          <w:p w14:paraId="16007C8B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53,1%</w:t>
            </w:r>
          </w:p>
        </w:tc>
      </w:tr>
      <w:tr w:rsidR="00A96744" w14:paraId="7B59B1ED" w14:textId="77777777">
        <w:tc>
          <w:tcPr>
            <w:tcW w:w="2400" w:type="dxa"/>
            <w:vAlign w:val="center"/>
          </w:tcPr>
          <w:p w14:paraId="175FFD3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Especialista/Staff+</w:t>
            </w:r>
          </w:p>
        </w:tc>
        <w:tc>
          <w:tcPr>
            <w:tcW w:w="3800" w:type="dxa"/>
            <w:vAlign w:val="center"/>
          </w:tcPr>
          <w:p w14:paraId="58829E51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R$12.001 a R$16.000/mês</w:t>
            </w:r>
          </w:p>
        </w:tc>
        <w:tc>
          <w:tcPr>
            <w:tcW w:w="2600" w:type="dxa"/>
            <w:vAlign w:val="center"/>
          </w:tcPr>
          <w:p w14:paraId="26007A1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83,7%</w:t>
            </w:r>
          </w:p>
        </w:tc>
      </w:tr>
    </w:tbl>
    <w:p w14:paraId="75C4E11F" w14:textId="77777777" w:rsidR="004A5A33" w:rsidRDefault="004A5A33" w:rsidP="0070763A">
      <w:pPr>
        <w:spacing w:after="200" w:line="276" w:lineRule="auto"/>
        <w:jc w:val="both"/>
        <w:rPr>
          <w:b/>
          <w:bCs/>
          <w:color w:val="1F3864"/>
          <w:sz w:val="22"/>
          <w:szCs w:val="22"/>
        </w:rPr>
      </w:pPr>
    </w:p>
    <w:p w14:paraId="3B0BD9EB" w14:textId="57D08681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Leitura estratégica: </w:t>
      </w:r>
      <w:r>
        <w:rPr>
          <w:color w:val="1F1F1F"/>
          <w:sz w:val="22"/>
          <w:szCs w:val="22"/>
        </w:rPr>
        <w:t xml:space="preserve">o salto salarial mais evidente ocorre entre Júnior e Pleno; a diferença entre Pleno e Sênior, embora exista, é proporcionalmente menor do que se poderia esperar — a faixa mais comum é a mesma para os dois níveis (R$8.001–R$12.000), variando principalmente a probabilidade de estar em faixas ainda mais altas. Isso sugere que reter talento em nível Pleno pode ser tão crítico quanto </w:t>
      </w:r>
      <w:r w:rsidR="001A389E">
        <w:rPr>
          <w:color w:val="1F1F1F"/>
          <w:sz w:val="22"/>
          <w:szCs w:val="22"/>
        </w:rPr>
        <w:t>reter sênior</w:t>
      </w:r>
      <w:r>
        <w:rPr>
          <w:color w:val="1F1F1F"/>
          <w:sz w:val="22"/>
          <w:szCs w:val="22"/>
        </w:rPr>
        <w:t>.</w:t>
      </w:r>
    </w:p>
    <w:p w14:paraId="50B3D9EC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1EBC0C80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5. Qual é o cenário de diversidade de gênero nas carreiras de dados?</w:t>
      </w:r>
    </w:p>
    <w:p w14:paraId="2F385534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 diversidade de gênero permanece como um dos principais desafios do mercado de dados. Além da enorme desigualdade entre homens e mulheres, os resultados apontam uma redução contínua da representatividade feminina e indícios de barreiras que impedem o crescimento profissional.</w:t>
      </w:r>
    </w:p>
    <w:p w14:paraId="1F298967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45C42194" wp14:editId="1048FACB">
            <wp:extent cx="4457700" cy="2209800"/>
            <wp:effectExtent l="0" t="0" r="0" b="0"/>
            <wp:docPr id="21097316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90245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4 — Evolução da distribuição de gênero no mercado de dados (2023–2025).</w:t>
      </w:r>
    </w:p>
    <w:p w14:paraId="7E28E056" w14:textId="77777777" w:rsidR="00A96744" w:rsidRDefault="00000000" w:rsidP="0070763A">
      <w:pPr>
        <w:spacing w:after="200" w:line="276" w:lineRule="auto"/>
        <w:jc w:val="both"/>
        <w:rPr>
          <w:b/>
          <w:bCs/>
          <w:color w:val="C00000"/>
          <w:sz w:val="22"/>
          <w:szCs w:val="22"/>
        </w:rPr>
      </w:pPr>
      <w:r>
        <w:rPr>
          <w:color w:val="1F1F1F"/>
          <w:sz w:val="22"/>
          <w:szCs w:val="22"/>
        </w:rPr>
        <w:t>Entre 2023 e 2025, a participação das mulheres apresentou uma queda de 24,4% para 22,0%, enquanto a presença masculina aumentou de 75,1% para 77,5%. Esse movimento mostra que, ao longo dos anos analisados, a representatividade feminina não se manteve estável, mas apresentou uma redução, ampliando a diferença de participação entre homens e mulheres. As categorias “outro/prefiro não informar” somam menos de 1%.</w:t>
      </w:r>
    </w:p>
    <w:p w14:paraId="01334A31" w14:textId="5F75AEEA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A desigualdade não está apenas na participação do </w:t>
      </w:r>
      <w:r w:rsidR="001A389E">
        <w:rPr>
          <w:color w:val="1F1F1F"/>
          <w:sz w:val="22"/>
          <w:szCs w:val="22"/>
        </w:rPr>
        <w:t>mercado,</w:t>
      </w:r>
      <w:r>
        <w:rPr>
          <w:color w:val="1F1F1F"/>
          <w:sz w:val="22"/>
          <w:szCs w:val="22"/>
        </w:rPr>
        <w:t xml:space="preserve"> mas também na remuneração. Cerca de 38,9% dos homens estão em faixas salariais superiores a R$12 mil reais mensais, enquanto as mulheres estão em 28,6%. Isso corresponde a uma diferença de 10,3 pontos percentuais no acesso às faixas mais altas de renda, evidenciando uma menor presença feminina entre os profissionais com maiores níveis de remuneração. </w:t>
      </w:r>
    </w:p>
    <w:p w14:paraId="27B1F286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Os resultados indicam que o desafio não está somente na entrada das mulheres no mercado de trabalho. Envolve a permanência, progressão de carreira e acesso às posições mais valorizadas e bem remuneradas. Esse cenário reforça a necessidade de ações voltadas à contratação, desenvolvimento profissional, equidade salarial e promoção de mulheres a cargos de maior senioridade e liderança.</w:t>
      </w:r>
    </w:p>
    <w:p w14:paraId="403BA518" w14:textId="1E7192D1" w:rsidR="00A96744" w:rsidRDefault="00000000" w:rsidP="0070763A">
      <w:pPr>
        <w:pStyle w:val="Ttulo2"/>
        <w:spacing w:before="300" w:after="150" w:line="276" w:lineRule="auto"/>
        <w:jc w:val="both"/>
      </w:pPr>
      <w:r>
        <w:t xml:space="preserve">5.1 </w:t>
      </w:r>
      <w:r w:rsidR="0065563B" w:rsidRPr="0065563B">
        <w:t>Há Indícios</w:t>
      </w:r>
      <w:r w:rsidR="0065563B">
        <w:t xml:space="preserve"> de </w:t>
      </w:r>
      <w:r>
        <w:t>Teto de Vidro na Carreira de Dados?</w:t>
      </w:r>
    </w:p>
    <w:p w14:paraId="4B395433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Para investigar se a desigualdade se manifesta de forma constante ou se intensifica ao longo da carreira, cruzamos representatividade de gênero com nível de senioridade:</w:t>
      </w:r>
    </w:p>
    <w:p w14:paraId="71600822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AC9F0EC" wp14:editId="102C69E6">
            <wp:extent cx="4457700" cy="2447925"/>
            <wp:effectExtent l="0" t="0" r="0" b="0"/>
            <wp:docPr id="210973165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4F7DE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5 — Representatividade feminina por nível de senioridade.</w:t>
      </w:r>
    </w:p>
    <w:p w14:paraId="0145A857" w14:textId="77777777" w:rsidR="00A96744" w:rsidRDefault="00000000" w:rsidP="0070763A">
      <w:pPr>
        <w:spacing w:after="200" w:line="276" w:lineRule="auto"/>
        <w:jc w:val="both"/>
      </w:pPr>
      <w:r>
        <w:rPr>
          <w:sz w:val="22"/>
          <w:szCs w:val="22"/>
        </w:rPr>
        <w:t>O padrão observado é consistente: a participação feminina diminui progressivamente conforme aumenta a senioridade - 28,2% no nível júnior, 24,7% no pleno, 21,3% no sênior e apenas 20,1% no especialista/staff. Isso representa uma redução de 8,1 pontos percentuais entre o nível júnior e o nível mais elevado analisado.</w:t>
      </w:r>
    </w:p>
    <w:p w14:paraId="6857B6EB" w14:textId="77777777" w:rsidR="00A96744" w:rsidRDefault="00000000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Essa queda progressiva indica que, embora exista uma presença feminina significativa nos cargos iniciais, sua participação é menor nas posições de maior senioridade. O cenário é compatível com o fenômeno conhecido como “teto de vidro” - barreiras informais e estruturais que, ainda que não estejam explicitamente previstas em políticas ou regras organizacionais, podem dificultar o avanço de mulheres para posições de maior senioridade e responsabilidade. </w:t>
      </w:r>
    </w:p>
    <w:p w14:paraId="081140C0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5.2 O Gap Salarial ao Longo da Senioridade</w:t>
      </w:r>
    </w:p>
    <w:tbl>
      <w:tblPr>
        <w:tblStyle w:val="a2"/>
        <w:tblW w:w="9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000"/>
      </w:tblGrid>
      <w:tr w:rsidR="00A96744" w14:paraId="6441116E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18EDA97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Senioridade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708C12E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% Homens em faixa alta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8BDF060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% Mulheres em faixa alta</w:t>
            </w:r>
          </w:p>
        </w:tc>
        <w:tc>
          <w:tcPr>
            <w:tcW w:w="2000" w:type="dxa"/>
            <w:shd w:val="clear" w:color="auto" w:fill="1F3864"/>
            <w:vAlign w:val="center"/>
          </w:tcPr>
          <w:p w14:paraId="39BB5F3A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Gap (</w:t>
            </w:r>
            <w:proofErr w:type="spellStart"/>
            <w:r>
              <w:rPr>
                <w:b/>
                <w:bCs/>
                <w:color w:val="FFFFFF"/>
              </w:rPr>
              <w:t>p.p</w:t>
            </w:r>
            <w:proofErr w:type="spellEnd"/>
            <w:r>
              <w:rPr>
                <w:b/>
                <w:bCs/>
                <w:color w:val="FFFFFF"/>
              </w:rPr>
              <w:t>.)</w:t>
            </w:r>
          </w:p>
        </w:tc>
      </w:tr>
      <w:tr w:rsidR="00A96744" w14:paraId="5BF13A50" w14:textId="77777777">
        <w:tc>
          <w:tcPr>
            <w:tcW w:w="2600" w:type="dxa"/>
            <w:vAlign w:val="center"/>
          </w:tcPr>
          <w:p w14:paraId="2F468F3D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Júnior</w:t>
            </w:r>
          </w:p>
        </w:tc>
        <w:tc>
          <w:tcPr>
            <w:tcW w:w="2600" w:type="dxa"/>
            <w:vAlign w:val="center"/>
          </w:tcPr>
          <w:p w14:paraId="40F1EEAD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1,2%</w:t>
            </w:r>
          </w:p>
        </w:tc>
        <w:tc>
          <w:tcPr>
            <w:tcW w:w="2600" w:type="dxa"/>
            <w:vAlign w:val="center"/>
          </w:tcPr>
          <w:p w14:paraId="1C5E42A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0,9%</w:t>
            </w:r>
          </w:p>
        </w:tc>
        <w:tc>
          <w:tcPr>
            <w:tcW w:w="2000" w:type="dxa"/>
            <w:vAlign w:val="center"/>
          </w:tcPr>
          <w:p w14:paraId="6730F343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0,3</w:t>
            </w:r>
          </w:p>
        </w:tc>
      </w:tr>
      <w:tr w:rsidR="00A96744" w14:paraId="3F4B81B1" w14:textId="77777777">
        <w:tc>
          <w:tcPr>
            <w:tcW w:w="2600" w:type="dxa"/>
            <w:vAlign w:val="center"/>
          </w:tcPr>
          <w:p w14:paraId="5056FB42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Pleno</w:t>
            </w:r>
          </w:p>
        </w:tc>
        <w:tc>
          <w:tcPr>
            <w:tcW w:w="2600" w:type="dxa"/>
            <w:vAlign w:val="center"/>
          </w:tcPr>
          <w:p w14:paraId="33F1F7E8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10,1%</w:t>
            </w:r>
          </w:p>
        </w:tc>
        <w:tc>
          <w:tcPr>
            <w:tcW w:w="2600" w:type="dxa"/>
            <w:vAlign w:val="center"/>
          </w:tcPr>
          <w:p w14:paraId="64C04C75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7,4%</w:t>
            </w:r>
          </w:p>
        </w:tc>
        <w:tc>
          <w:tcPr>
            <w:tcW w:w="2000" w:type="dxa"/>
            <w:vAlign w:val="center"/>
          </w:tcPr>
          <w:p w14:paraId="404201CA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2,7</w:t>
            </w:r>
          </w:p>
        </w:tc>
      </w:tr>
      <w:tr w:rsidR="00A96744" w14:paraId="725EF171" w14:textId="77777777">
        <w:tc>
          <w:tcPr>
            <w:tcW w:w="2600" w:type="dxa"/>
            <w:vAlign w:val="center"/>
          </w:tcPr>
          <w:p w14:paraId="4EBB3EF0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Sênior</w:t>
            </w:r>
          </w:p>
        </w:tc>
        <w:tc>
          <w:tcPr>
            <w:tcW w:w="2600" w:type="dxa"/>
            <w:vAlign w:val="center"/>
          </w:tcPr>
          <w:p w14:paraId="006A5CA6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55,5%</w:t>
            </w:r>
          </w:p>
        </w:tc>
        <w:tc>
          <w:tcPr>
            <w:tcW w:w="2600" w:type="dxa"/>
            <w:vAlign w:val="center"/>
          </w:tcPr>
          <w:p w14:paraId="0B710F85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44,5%</w:t>
            </w:r>
          </w:p>
        </w:tc>
        <w:tc>
          <w:tcPr>
            <w:tcW w:w="2000" w:type="dxa"/>
            <w:vAlign w:val="center"/>
          </w:tcPr>
          <w:p w14:paraId="0B6D122D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11,0</w:t>
            </w:r>
          </w:p>
        </w:tc>
      </w:tr>
      <w:tr w:rsidR="00A96744" w14:paraId="52F700E7" w14:textId="77777777">
        <w:tc>
          <w:tcPr>
            <w:tcW w:w="2600" w:type="dxa"/>
            <w:vAlign w:val="center"/>
          </w:tcPr>
          <w:p w14:paraId="3F61813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Especialista/Staff+</w:t>
            </w:r>
          </w:p>
        </w:tc>
        <w:tc>
          <w:tcPr>
            <w:tcW w:w="2600" w:type="dxa"/>
            <w:vAlign w:val="center"/>
          </w:tcPr>
          <w:p w14:paraId="1AA7C2BA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83,3%</w:t>
            </w:r>
          </w:p>
        </w:tc>
        <w:tc>
          <w:tcPr>
            <w:tcW w:w="2600" w:type="dxa"/>
            <w:vAlign w:val="center"/>
          </w:tcPr>
          <w:p w14:paraId="30E60A93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84,3%</w:t>
            </w:r>
          </w:p>
        </w:tc>
        <w:tc>
          <w:tcPr>
            <w:tcW w:w="2000" w:type="dxa"/>
            <w:vAlign w:val="center"/>
          </w:tcPr>
          <w:p w14:paraId="04307B4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-1,0</w:t>
            </w:r>
          </w:p>
        </w:tc>
      </w:tr>
    </w:tbl>
    <w:p w14:paraId="68EA8624" w14:textId="77777777" w:rsidR="00A96744" w:rsidRDefault="00A96744" w:rsidP="0070763A">
      <w:pPr>
        <w:spacing w:after="200" w:line="276" w:lineRule="auto"/>
        <w:jc w:val="both"/>
        <w:rPr>
          <w:sz w:val="22"/>
          <w:szCs w:val="22"/>
        </w:rPr>
      </w:pPr>
    </w:p>
    <w:p w14:paraId="08290652" w14:textId="77777777" w:rsidR="00A96744" w:rsidRDefault="00000000" w:rsidP="0070763A">
      <w:pPr>
        <w:spacing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O gap salarial não se apresenta de forma uniforme entre os diferentes níveis de senioridade. Nos níveis júnior e pleno, a diferença entre homens e mulheres em faixas salariais mais altas é relativamente pequena, com gaps de 0,3 e 2,7 pontos percentuais, respectivamente. No entanto, essa diferença aumenta de maneira expressiva no nível Sênior, chegando a 11,0 pontos percentuais.</w:t>
      </w:r>
    </w:p>
    <w:p w14:paraId="28E43934" w14:textId="77777777" w:rsidR="00A96744" w:rsidRDefault="00000000" w:rsidP="0070763A">
      <w:pPr>
        <w:spacing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Esse resultado chama atenção por indicar que a desigualdade salarial se torna mais evidente justamente em uma etapa intermediária-avançada da carreira. No nível Sênior, 55,5% dos homens estão em faixas salariais altas, contra 44,5% das mulheres, revelando uma diferença significativa no acesso às maiores remunerações.  </w:t>
      </w:r>
    </w:p>
    <w:p w14:paraId="56734952" w14:textId="77777777" w:rsidR="00A96744" w:rsidRDefault="00000000" w:rsidP="0070763A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No nível Especialista/Staff+, entretanto, o padrão se inverte: a proporção de mulheres em faixas salariais altas chega a 84,3%, enquanto entre os homens é de 83,3%, resultando em um gap de -1,0 ponto percentual. Esse resultado deve ser interpretado com cautela, considerando que a amostra feminina nesse nível é menor (70 mulheres contra 276 homens).</w:t>
      </w:r>
    </w:p>
    <w:p w14:paraId="1FD0A8EE" w14:textId="77777777" w:rsidR="00A96744" w:rsidRDefault="00000000" w:rsidP="0070763A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De forma geral, os dados sugerem que o principal ponto de atenção não está necessariamente na remuneração dos níveis iniciais ou no topo da carreira, mas principalmente na transição para posições seniores. É nesse estágio que a diferença salarial se torna mais acentuada, indicando a importância de investigar fatores relacionados à progressão, promoção e retenção de mulheres ao longo da carreira.</w:t>
      </w:r>
    </w:p>
    <w:p w14:paraId="22ED79A5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5.3 Representatividade por Cargo</w:t>
      </w:r>
    </w:p>
    <w:tbl>
      <w:tblPr>
        <w:tblStyle w:val="a3"/>
        <w:tblW w:w="88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2400"/>
        <w:gridCol w:w="2200"/>
      </w:tblGrid>
      <w:tr w:rsidR="00A96744" w14:paraId="2D6559AF" w14:textId="77777777" w:rsidTr="004A5A33">
        <w:trPr>
          <w:tblHeader/>
          <w:jc w:val="center"/>
        </w:trPr>
        <w:tc>
          <w:tcPr>
            <w:tcW w:w="4200" w:type="dxa"/>
            <w:shd w:val="clear" w:color="auto" w:fill="1F3864"/>
            <w:vAlign w:val="center"/>
          </w:tcPr>
          <w:p w14:paraId="0B6077DA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0EE28F8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% Mulheres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24AA1E9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Base (n)</w:t>
            </w:r>
          </w:p>
        </w:tc>
      </w:tr>
      <w:tr w:rsidR="00A96744" w14:paraId="3B3A7531" w14:textId="77777777" w:rsidTr="004A5A33">
        <w:trPr>
          <w:jc w:val="center"/>
        </w:trPr>
        <w:tc>
          <w:tcPr>
            <w:tcW w:w="4200" w:type="dxa"/>
            <w:vAlign w:val="center"/>
          </w:tcPr>
          <w:p w14:paraId="242E5097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 xml:space="preserve">Engenheiro de Dados/Data </w:t>
            </w:r>
            <w:proofErr w:type="spellStart"/>
            <w:r>
              <w:rPr>
                <w:color w:val="1F1F1F"/>
              </w:rPr>
              <w:t>Engineer</w:t>
            </w:r>
            <w:proofErr w:type="spellEnd"/>
          </w:p>
        </w:tc>
        <w:tc>
          <w:tcPr>
            <w:tcW w:w="2400" w:type="dxa"/>
            <w:vAlign w:val="center"/>
          </w:tcPr>
          <w:p w14:paraId="1FD6654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16,7%</w:t>
            </w:r>
          </w:p>
        </w:tc>
        <w:tc>
          <w:tcPr>
            <w:tcW w:w="2200" w:type="dxa"/>
            <w:vAlign w:val="center"/>
          </w:tcPr>
          <w:p w14:paraId="7EF940D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1.698</w:t>
            </w:r>
          </w:p>
        </w:tc>
      </w:tr>
      <w:tr w:rsidR="00A96744" w14:paraId="1C1746F6" w14:textId="77777777" w:rsidTr="004A5A33">
        <w:trPr>
          <w:jc w:val="center"/>
        </w:trPr>
        <w:tc>
          <w:tcPr>
            <w:tcW w:w="4200" w:type="dxa"/>
            <w:vAlign w:val="center"/>
          </w:tcPr>
          <w:p w14:paraId="4CAEAC0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Analista de BI/BI Analyst</w:t>
            </w:r>
          </w:p>
        </w:tc>
        <w:tc>
          <w:tcPr>
            <w:tcW w:w="2400" w:type="dxa"/>
            <w:vAlign w:val="center"/>
          </w:tcPr>
          <w:p w14:paraId="640B1AA1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22,5%</w:t>
            </w:r>
          </w:p>
        </w:tc>
        <w:tc>
          <w:tcPr>
            <w:tcW w:w="2200" w:type="dxa"/>
            <w:vAlign w:val="center"/>
          </w:tcPr>
          <w:p w14:paraId="19097D44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1.117</w:t>
            </w:r>
          </w:p>
        </w:tc>
      </w:tr>
      <w:tr w:rsidR="00A96744" w14:paraId="5601FFA0" w14:textId="77777777" w:rsidTr="004A5A33">
        <w:trPr>
          <w:jc w:val="center"/>
        </w:trPr>
        <w:tc>
          <w:tcPr>
            <w:tcW w:w="4200" w:type="dxa"/>
            <w:vAlign w:val="center"/>
          </w:tcPr>
          <w:p w14:paraId="440A1A1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 xml:space="preserve">Cientista de Dados/Data </w:t>
            </w:r>
            <w:proofErr w:type="spellStart"/>
            <w:r>
              <w:rPr>
                <w:color w:val="1F1F1F"/>
              </w:rPr>
              <w:t>Scientist</w:t>
            </w:r>
            <w:proofErr w:type="spellEnd"/>
          </w:p>
        </w:tc>
        <w:tc>
          <w:tcPr>
            <w:tcW w:w="2400" w:type="dxa"/>
            <w:vAlign w:val="center"/>
          </w:tcPr>
          <w:p w14:paraId="5298C711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22,8%</w:t>
            </w:r>
          </w:p>
        </w:tc>
        <w:tc>
          <w:tcPr>
            <w:tcW w:w="2200" w:type="dxa"/>
            <w:vAlign w:val="center"/>
          </w:tcPr>
          <w:p w14:paraId="4A19ACAB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1.797</w:t>
            </w:r>
          </w:p>
        </w:tc>
      </w:tr>
      <w:tr w:rsidR="00A96744" w14:paraId="42B09D22" w14:textId="77777777" w:rsidTr="004A5A33">
        <w:trPr>
          <w:jc w:val="center"/>
        </w:trPr>
        <w:tc>
          <w:tcPr>
            <w:tcW w:w="4200" w:type="dxa"/>
            <w:vAlign w:val="center"/>
          </w:tcPr>
          <w:p w14:paraId="25B87F5C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Analista de Dados/Data Analyst</w:t>
            </w:r>
          </w:p>
        </w:tc>
        <w:tc>
          <w:tcPr>
            <w:tcW w:w="2400" w:type="dxa"/>
            <w:vAlign w:val="center"/>
          </w:tcPr>
          <w:p w14:paraId="31FAA4EB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28,1%</w:t>
            </w:r>
          </w:p>
        </w:tc>
        <w:tc>
          <w:tcPr>
            <w:tcW w:w="2200" w:type="dxa"/>
            <w:vAlign w:val="center"/>
          </w:tcPr>
          <w:p w14:paraId="7795A38F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2.463</w:t>
            </w:r>
          </w:p>
        </w:tc>
      </w:tr>
      <w:tr w:rsidR="00A96744" w14:paraId="4023D00F" w14:textId="77777777" w:rsidTr="004A5A33">
        <w:trPr>
          <w:jc w:val="center"/>
        </w:trPr>
        <w:tc>
          <w:tcPr>
            <w:tcW w:w="4200" w:type="dxa"/>
            <w:vAlign w:val="center"/>
          </w:tcPr>
          <w:p w14:paraId="0C8908AE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Analista de Negócios/Business Analyst</w:t>
            </w:r>
          </w:p>
        </w:tc>
        <w:tc>
          <w:tcPr>
            <w:tcW w:w="2400" w:type="dxa"/>
            <w:vAlign w:val="center"/>
          </w:tcPr>
          <w:p w14:paraId="001EC133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32,1%</w:t>
            </w:r>
          </w:p>
        </w:tc>
        <w:tc>
          <w:tcPr>
            <w:tcW w:w="2200" w:type="dxa"/>
            <w:vAlign w:val="center"/>
          </w:tcPr>
          <w:p w14:paraId="36E667AB" w14:textId="77777777" w:rsidR="00A96744" w:rsidRDefault="00000000" w:rsidP="0070763A">
            <w:pPr>
              <w:spacing w:line="276" w:lineRule="auto"/>
              <w:jc w:val="both"/>
            </w:pPr>
            <w:r>
              <w:rPr>
                <w:color w:val="1F1F1F"/>
              </w:rPr>
              <w:t>520</w:t>
            </w:r>
          </w:p>
        </w:tc>
      </w:tr>
    </w:tbl>
    <w:p w14:paraId="38F19582" w14:textId="77777777" w:rsidR="00A96744" w:rsidRDefault="00A96744" w:rsidP="0070763A">
      <w:pPr>
        <w:spacing w:line="276" w:lineRule="auto"/>
        <w:jc w:val="both"/>
      </w:pPr>
    </w:p>
    <w:p w14:paraId="27016FB3" w14:textId="77777777" w:rsidR="00A96744" w:rsidRPr="0070763A" w:rsidRDefault="00000000" w:rsidP="0070763A">
      <w:pPr>
        <w:spacing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 xml:space="preserve">Cargos mais técnicos apresentam menor representatividade feminina. Engenharia de Dados apresentou a menor participação de mulheres entre os cargos analisados, com 16,7%. Em contraste, funções mais próximas da análise e do negócio apresentam maior participação feminina, como Analista de Dados (28,1%) e, principalmente, Analista de Negócios (32,1%).  </w:t>
      </w:r>
    </w:p>
    <w:p w14:paraId="7D26E6D6" w14:textId="77777777" w:rsidR="00A96744" w:rsidRPr="0070763A" w:rsidRDefault="00A96744" w:rsidP="0070763A">
      <w:pPr>
        <w:spacing w:line="276" w:lineRule="auto"/>
        <w:jc w:val="both"/>
        <w:rPr>
          <w:sz w:val="22"/>
          <w:szCs w:val="22"/>
        </w:rPr>
      </w:pPr>
    </w:p>
    <w:p w14:paraId="5872A484" w14:textId="5FF315D3" w:rsidR="00A96744" w:rsidRDefault="00000000" w:rsidP="0070763A">
      <w:pPr>
        <w:spacing w:line="276" w:lineRule="auto"/>
        <w:jc w:val="both"/>
      </w:pPr>
      <w:r w:rsidRPr="0070763A">
        <w:rPr>
          <w:sz w:val="22"/>
          <w:szCs w:val="22"/>
        </w:rPr>
        <w:t>Esse resultado mostra um padrão de sub-representação feminina nas funções mais técnicas, especialmente em Engenharia de Dados, enquanto a presença feminina aumenta em posições associadas à análise e ao relacionamento com o negócio, ou seja, há um desbalanceamento de gênero entre diferentes trajetórias dentro da área de dados.</w:t>
      </w:r>
    </w:p>
    <w:p w14:paraId="411E30B3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t>6. Quais tecnologias apresentam maior adoção entre os profissionais?</w:t>
      </w:r>
    </w:p>
    <w:p w14:paraId="3E3F0736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>A análise de adoção tecnológica contemplou três frentes: linguagens de programação, provedores de nuvem e ferramentas de Business Intelligence.</w:t>
      </w:r>
    </w:p>
    <w:p w14:paraId="130487B3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6.1 Linguagens de Programação</w:t>
      </w:r>
    </w:p>
    <w:p w14:paraId="2FD692C7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2E76011" wp14:editId="515D38E7">
            <wp:extent cx="4457700" cy="2447925"/>
            <wp:effectExtent l="0" t="0" r="0" b="0"/>
            <wp:docPr id="210973164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9B156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6 — Linguagens de programação mais citadas (% do total de menções).</w:t>
      </w:r>
    </w:p>
    <w:p w14:paraId="35A5104D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 xml:space="preserve">Python apresenta ampla predominância entre as linguagens citadas: corresponde a 72,4% das menções, muito à frente de SQL (16,7%) e R (6,2%). Scala e </w:t>
      </w:r>
      <w:proofErr w:type="spellStart"/>
      <w:r w:rsidRPr="0070763A">
        <w:rPr>
          <w:sz w:val="22"/>
          <w:szCs w:val="22"/>
        </w:rPr>
        <w:t>Rust</w:t>
      </w:r>
      <w:proofErr w:type="spellEnd"/>
      <w:r w:rsidRPr="0070763A">
        <w:rPr>
          <w:sz w:val="22"/>
          <w:szCs w:val="22"/>
        </w:rPr>
        <w:t xml:space="preserve"> apresentam participação residual, com 1,4% e 0,8%, respectivamente. </w:t>
      </w:r>
    </w:p>
    <w:p w14:paraId="186F2E92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 xml:space="preserve">Esse resultado evidencia a forte presença do Python na área de dados, sendo a linguagem mais utilizada entre os profissionais analisados. A distância em relação às demais linguagens é significativa: Python concentra mais de quatro vezes as menções de SQL e mais de onze vezes as de R. </w:t>
      </w:r>
    </w:p>
    <w:p w14:paraId="7C5A4D49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6.2 Provedores de Nuvem</w:t>
      </w:r>
    </w:p>
    <w:p w14:paraId="2F53D6D7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005CCFC3" wp14:editId="039B1727">
            <wp:extent cx="4457700" cy="2209800"/>
            <wp:effectExtent l="0" t="0" r="0" b="0"/>
            <wp:docPr id="210973165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5D08B" w14:textId="77777777" w:rsidR="00A96744" w:rsidRDefault="00000000" w:rsidP="004A5A33">
      <w:pPr>
        <w:spacing w:after="250" w:line="276" w:lineRule="auto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>Figura 7 — Evolução da adoção de provedores de nuvem (2023–2025).</w:t>
      </w:r>
    </w:p>
    <w:p w14:paraId="62FE478D" w14:textId="77777777" w:rsidR="00A96744" w:rsidRPr="0070763A" w:rsidRDefault="00000000" w:rsidP="0070763A">
      <w:pPr>
        <w:spacing w:after="25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 xml:space="preserve">Em 2023, o Azure tinha a maior adoção, com 28,9%, enquanto a AWS aparecia com 20,9%. Em 2024, esse cenário se inverte, e a AWS passa para 30,4%, contra 21,2% do Azure. Em 2025, a AWS continua na liderança, com 28,9%, enquanto o Azure fica em 20,9%. O GCP, por sua vez, apresenta uma queda gradual, de 21,6% em 2023 para 18,5% em 2025. </w:t>
      </w:r>
    </w:p>
    <w:p w14:paraId="500BCB02" w14:textId="77777777" w:rsidR="00A96744" w:rsidRPr="0070763A" w:rsidRDefault="00000000" w:rsidP="0070763A">
      <w:pPr>
        <w:spacing w:after="25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lastRenderedPageBreak/>
        <w:t xml:space="preserve">A AWS ganhou espaço entre os profissionais analisados nos últimos anos, mostrando que a plataforma tem forte presença no mercado. Assim, sua utilização no projeto está alinhada às tecnologias mais utilizadas pelos profissionais da área. </w:t>
      </w:r>
    </w:p>
    <w:p w14:paraId="6F77DCF2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6.3 Ferramentas de Business Intelligence</w:t>
      </w:r>
    </w:p>
    <w:p w14:paraId="64642C38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6FD3E631" wp14:editId="2F32E8C3">
            <wp:extent cx="4457700" cy="2486025"/>
            <wp:effectExtent l="0" t="0" r="0" b="0"/>
            <wp:docPr id="210973165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1475E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8 — Ferramentas de BI mais utilizadas em 2025 (excluídas não-respostas).</w:t>
      </w:r>
    </w:p>
    <w:p w14:paraId="361BD7FC" w14:textId="77777777" w:rsidR="00A96744" w:rsidRPr="0070763A" w:rsidRDefault="00000000" w:rsidP="0070763A">
      <w:pPr>
        <w:spacing w:before="240" w:after="24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 xml:space="preserve">O Microsoft Power BI aparece com 65,6% das menções, ficando bem à frente das demais opções. Em seguida aparecem Tableau (12,7%) e </w:t>
      </w:r>
      <w:proofErr w:type="spellStart"/>
      <w:r w:rsidRPr="0070763A">
        <w:rPr>
          <w:sz w:val="22"/>
          <w:szCs w:val="22"/>
        </w:rPr>
        <w:t>Looker</w:t>
      </w:r>
      <w:proofErr w:type="spellEnd"/>
      <w:r w:rsidRPr="0070763A">
        <w:rPr>
          <w:sz w:val="22"/>
          <w:szCs w:val="22"/>
        </w:rPr>
        <w:t xml:space="preserve"> (8,3%), enquanto Metabase (5,3%) e </w:t>
      </w:r>
      <w:proofErr w:type="spellStart"/>
      <w:r w:rsidRPr="0070763A">
        <w:rPr>
          <w:sz w:val="22"/>
          <w:szCs w:val="22"/>
        </w:rPr>
        <w:t>Amazon</w:t>
      </w:r>
      <w:proofErr w:type="spellEnd"/>
      <w:r w:rsidRPr="0070763A">
        <w:rPr>
          <w:sz w:val="22"/>
          <w:szCs w:val="22"/>
        </w:rPr>
        <w:t xml:space="preserve"> </w:t>
      </w:r>
      <w:proofErr w:type="spellStart"/>
      <w:r w:rsidRPr="0070763A">
        <w:rPr>
          <w:sz w:val="22"/>
          <w:szCs w:val="22"/>
        </w:rPr>
        <w:t>QuickSight</w:t>
      </w:r>
      <w:proofErr w:type="spellEnd"/>
      <w:r w:rsidRPr="0070763A">
        <w:rPr>
          <w:sz w:val="22"/>
          <w:szCs w:val="22"/>
        </w:rPr>
        <w:t xml:space="preserve"> (3,8%) apresentam uma participação menor.</w:t>
      </w:r>
    </w:p>
    <w:p w14:paraId="6539BBAE" w14:textId="77777777" w:rsidR="00A96744" w:rsidRPr="0070763A" w:rsidRDefault="00000000" w:rsidP="0070763A">
      <w:pPr>
        <w:spacing w:before="240" w:after="240"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>A diferença entre o Power BI e as outras ferramentas é bastante significativa, mostrando uma forte preferência pelo Power BI entre os profissionais analisados. Isso indica que a ferramenta possui uma presença relevante no mercado de dados e Business Intelligence, especialmente quando comparada às demais opções avaliadas.</w:t>
      </w:r>
    </w:p>
    <w:p w14:paraId="72E1F9F2" w14:textId="77777777" w:rsidR="00A96744" w:rsidRDefault="00A96744" w:rsidP="0070763A">
      <w:pPr>
        <w:spacing w:after="200" w:line="276" w:lineRule="auto"/>
        <w:jc w:val="both"/>
        <w:rPr>
          <w:b/>
          <w:bCs/>
          <w:color w:val="1F3864"/>
          <w:sz w:val="22"/>
          <w:szCs w:val="22"/>
        </w:rPr>
      </w:pPr>
    </w:p>
    <w:p w14:paraId="623E9CCB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1711F689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7. Qual é o índice de adoção de Inteligência Artificial e seu impacto?</w:t>
      </w:r>
    </w:p>
    <w:p w14:paraId="272B90A1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 adoção de Inteligência Artificial generativa foi analisada em duas dimensões: uso individual no dia a dia dos profissionais e prioridade estratégica declarada pela empresa empregadora.</w:t>
      </w:r>
    </w:p>
    <w:p w14:paraId="4D58466E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4F185762" wp14:editId="73DD1C92">
            <wp:extent cx="4457700" cy="2247900"/>
            <wp:effectExtent l="0" t="0" r="0" b="0"/>
            <wp:docPr id="21097316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2D0E9" w14:textId="77777777" w:rsidR="00A96744" w:rsidRDefault="00000000" w:rsidP="004A5A33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9 — Evolução do uso de Inteligência Artificial generativa (2023–2025).</w:t>
      </w:r>
    </w:p>
    <w:p w14:paraId="2961FB7E" w14:textId="77777777" w:rsidR="0065563B" w:rsidRPr="0065563B" w:rsidRDefault="0065563B" w:rsidP="0070763A">
      <w:pPr>
        <w:spacing w:after="200" w:line="276" w:lineRule="auto"/>
        <w:jc w:val="both"/>
        <w:rPr>
          <w:color w:val="1F1F1F"/>
          <w:sz w:val="22"/>
          <w:szCs w:val="22"/>
        </w:rPr>
      </w:pPr>
      <w:r w:rsidRPr="0065563B">
        <w:rPr>
          <w:color w:val="1F1F1F"/>
          <w:sz w:val="22"/>
          <w:szCs w:val="22"/>
        </w:rPr>
        <w:t>A não utilização declarada de IA generativa caiu de 13,6% em 2023 para 1,1% em 2025, enquanto 59,1% declararam utilizar alguma ferramenta em 2025.</w:t>
      </w:r>
    </w:p>
    <w:p w14:paraId="5AB404B2" w14:textId="6B97609B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C00000"/>
          <w:sz w:val="22"/>
          <w:szCs w:val="22"/>
        </w:rPr>
        <w:t xml:space="preserve">Descompasso estratégico: </w:t>
      </w:r>
      <w:r w:rsidRPr="0070763A">
        <w:rPr>
          <w:color w:val="1F1F1F"/>
          <w:sz w:val="22"/>
          <w:szCs w:val="22"/>
        </w:rPr>
        <w:t>apesar da adoção individual estar próxima da universalização, apenas entre 6% (2023) e 11% (2025) das empresas tratam a IA generativa como uma das principais prioridades estratégicas. A maioria não soube opinar ou informou que o tema não é uma prioridade, mostrando que o uso da tecnologia pelos profissionais avança mais rapidamente do que sua incorporação às estratégias das empresas.</w:t>
      </w:r>
    </w:p>
    <w:p w14:paraId="47250A17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1F3864"/>
          <w:sz w:val="22"/>
          <w:szCs w:val="22"/>
        </w:rPr>
        <w:t xml:space="preserve">Principal barreira à adoção corporativa: </w:t>
      </w:r>
      <w:r w:rsidRPr="0070763A">
        <w:rPr>
          <w:color w:val="1F1F1F"/>
          <w:sz w:val="22"/>
          <w:szCs w:val="22"/>
        </w:rPr>
        <w:t>entre os motivos relatados para a não adoção de IA generativa nas empresas, destacam-se a falta de expertise ou recursos e a falta de compreensão sobre os casos de uso, seguidas pela percepção de que os dados da empresa ainda não estão prontos para uso de IA Generativa e pela preocupação com segurança e privacidade dos dados. Isso indica que as principais dificuldades estão relacionadas à capacitação e à estrutura necessária para utilizar a tecnologia, e não apenas à resistência ou à desconfiança em relação à IA.</w:t>
      </w:r>
    </w:p>
    <w:p w14:paraId="7300DDA2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1F3864"/>
          <w:sz w:val="22"/>
          <w:szCs w:val="22"/>
        </w:rPr>
        <w:t xml:space="preserve">Oportunidade estratégica: </w:t>
      </w:r>
      <w:r w:rsidRPr="0070763A">
        <w:rPr>
          <w:color w:val="1F1F1F"/>
          <w:sz w:val="22"/>
          <w:szCs w:val="22"/>
        </w:rPr>
        <w:t>existe uma janela real de diferenciação competitiva para a Instituição Financeira formalizar uma estratégia corporativa de IA generativa, já que a maioria do mercado ainda não o fez.</w:t>
      </w:r>
    </w:p>
    <w:p w14:paraId="0343826C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4FEF125F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8. Existem diferenças relevantes entre regiões, senioridades ou modelos de trabalho?</w:t>
      </w:r>
    </w:p>
    <w:p w14:paraId="21A095A4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Esta seção examina três eixos de variação frequentemente citados como determinantes de remuneração e oportunidade no mercado de dados: localização geográfica, nível de senioridade e modelo de trabalho.</w:t>
      </w:r>
    </w:p>
    <w:p w14:paraId="289977DE" w14:textId="77777777" w:rsidR="00A96744" w:rsidRDefault="00000000" w:rsidP="004A5A33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049E024E" wp14:editId="3CCB2827">
            <wp:extent cx="4457700" cy="2447925"/>
            <wp:effectExtent l="0" t="0" r="0" b="0"/>
            <wp:docPr id="210973165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83779" w14:textId="77777777" w:rsidR="00A96744" w:rsidRPr="00504884" w:rsidRDefault="00000000" w:rsidP="004A5A33">
      <w:pPr>
        <w:spacing w:after="250" w:line="276" w:lineRule="auto"/>
        <w:jc w:val="center"/>
        <w:rPr>
          <w:i/>
          <w:iCs/>
          <w:color w:val="5A5A5A"/>
          <w:sz w:val="18"/>
          <w:szCs w:val="18"/>
        </w:rPr>
      </w:pPr>
      <w:sdt>
        <w:sdtPr>
          <w:rPr>
            <w:i/>
            <w:iCs/>
            <w:color w:val="5A5A5A"/>
            <w:sz w:val="18"/>
            <w:szCs w:val="18"/>
          </w:rPr>
          <w:tag w:val="goog_rdk_3"/>
          <w:id w:val="1138726784"/>
        </w:sdtPr>
        <w:sdtContent>
          <w:r w:rsidRPr="00504884">
            <w:rPr>
              <w:i/>
              <w:iCs/>
              <w:color w:val="5A5A5A"/>
              <w:sz w:val="18"/>
              <w:szCs w:val="18"/>
            </w:rPr>
            <w:t>Figura 10 — Proporção de salários elevados por região (≥ R$12.000/mês).</w:t>
          </w:r>
        </w:sdtContent>
      </w:sdt>
    </w:p>
    <w:p w14:paraId="4494DCCC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Concentração e gap regional: </w:t>
      </w:r>
      <w:r>
        <w:rPr>
          <w:color w:val="1F1F1F"/>
          <w:sz w:val="22"/>
          <w:szCs w:val="22"/>
        </w:rPr>
        <w:t>60,5% de todos os profissionais de dados do país estão concentrados na região Sudeste. Entre esses respondentes, 39,2% recebem salários iguais ou superiores a R$12.000/mês, contra apenas 22,8% no Norte — quase o dobro de chance de estar bem remunerado no Sudeste.</w:t>
      </w:r>
    </w:p>
    <w:p w14:paraId="1DE74EA9" w14:textId="68B48CF8" w:rsidR="00A96744" w:rsidRDefault="00000000" w:rsidP="0070763A">
      <w:pPr>
        <w:pStyle w:val="Ttulo2"/>
        <w:spacing w:before="300" w:after="150" w:line="276" w:lineRule="auto"/>
        <w:jc w:val="both"/>
      </w:pPr>
      <w:r>
        <w:t xml:space="preserve">8.1 O </w:t>
      </w:r>
      <w:r w:rsidR="0070763A">
        <w:t>que explica</w:t>
      </w:r>
      <w:r>
        <w:t xml:space="preserve"> o Gap Regional?</w:t>
      </w:r>
    </w:p>
    <w:p w14:paraId="4DC166FC" w14:textId="77777777" w:rsidR="00A96744" w:rsidRDefault="00000000" w:rsidP="00504884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58D03463" wp14:editId="46769A19">
            <wp:extent cx="4457700" cy="2247900"/>
            <wp:effectExtent l="0" t="0" r="0" b="0"/>
            <wp:docPr id="210973165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B73A" w14:textId="77777777" w:rsidR="00A96744" w:rsidRDefault="00000000" w:rsidP="00504884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11 — Proporção de salários elevados por modelo de trabalho.</w:t>
      </w:r>
    </w:p>
    <w:p w14:paraId="70B9F233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1F3864"/>
          <w:sz w:val="22"/>
          <w:szCs w:val="22"/>
        </w:rPr>
        <w:t xml:space="preserve">Senioridade é o fator mais determinante: </w:t>
      </w:r>
      <w:r w:rsidRPr="0070763A">
        <w:rPr>
          <w:color w:val="1F1F1F"/>
          <w:sz w:val="22"/>
          <w:szCs w:val="22"/>
        </w:rPr>
        <w:t>a proporção de respondentes em faixa salarial alta salta de apenas 1,2% no nível Júnior para 83,7% no Especialista/Staff+ — uma diferença muito maior do que a observada entre as regiões.</w:t>
      </w:r>
    </w:p>
    <w:p w14:paraId="288D8F55" w14:textId="77777777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1F3864"/>
          <w:sz w:val="22"/>
          <w:szCs w:val="22"/>
        </w:rPr>
        <w:lastRenderedPageBreak/>
        <w:t xml:space="preserve">A composição de senioridade explica parte do gap regional: </w:t>
      </w:r>
      <w:r w:rsidRPr="0070763A">
        <w:rPr>
          <w:color w:val="1F1F1F"/>
          <w:sz w:val="22"/>
          <w:szCs w:val="22"/>
        </w:rPr>
        <w:t>o Sudeste concentra proporcionalmente mais profissionais Sênior e Especialista (43,3% somados) do que o Norte (31,4%). Ou seja, parte do maior nível de remuneração observado no Sudeste pode estar relacionada à maior presença de profissionais mais experientes na região, e não somente a diferenças de mercado ou de política salarial.</w:t>
      </w:r>
    </w:p>
    <w:p w14:paraId="59C06CA5" w14:textId="7C038BB2" w:rsidR="00A96744" w:rsidRPr="0070763A" w:rsidRDefault="00000000" w:rsidP="0070763A">
      <w:pPr>
        <w:spacing w:after="200" w:line="276" w:lineRule="auto"/>
        <w:jc w:val="both"/>
        <w:rPr>
          <w:sz w:val="22"/>
          <w:szCs w:val="22"/>
        </w:rPr>
      </w:pPr>
      <w:r w:rsidRPr="0070763A">
        <w:rPr>
          <w:b/>
          <w:bCs/>
          <w:color w:val="1F3864"/>
          <w:sz w:val="22"/>
          <w:szCs w:val="22"/>
        </w:rPr>
        <w:t xml:space="preserve">Modelo de trabalho: </w:t>
      </w:r>
      <w:r w:rsidRPr="0070763A">
        <w:rPr>
          <w:color w:val="1F1F1F"/>
          <w:sz w:val="22"/>
          <w:szCs w:val="22"/>
        </w:rPr>
        <w:t xml:space="preserve">o modelo presencial </w:t>
      </w:r>
      <w:proofErr w:type="gramStart"/>
      <w:r w:rsidR="0070763A" w:rsidRPr="0070763A">
        <w:rPr>
          <w:color w:val="1F1F1F"/>
          <w:sz w:val="22"/>
          <w:szCs w:val="22"/>
        </w:rPr>
        <w:t>100% apresenta</w:t>
      </w:r>
      <w:proofErr w:type="gramEnd"/>
      <w:r w:rsidRPr="0070763A">
        <w:rPr>
          <w:color w:val="1F1F1F"/>
          <w:sz w:val="22"/>
          <w:szCs w:val="22"/>
        </w:rPr>
        <w:t xml:space="preserve"> a menor proporção de salários elevados (17,5%), contra 43,7% no modelo híbrido flexível — plausivelmente porque cargos mais seniores e especializados tendem a ter maior autonomia para escolher modelos de trabalho mais flexíveis. O trabalho 100% remoto é o modelo mais comum entre os respondentes (41%), reforçando seu papel como alavanca de recrutamento para além do eixo Sudeste.</w:t>
      </w:r>
    </w:p>
    <w:p w14:paraId="293D08C4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t>9. Quais oportunidades e desafios para empresas que desejam investir em Dados e IA?</w:t>
      </w:r>
    </w:p>
    <w:p w14:paraId="25861D86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 análise dos dados mostra que empresas que desejam investir em Dados e Inteligência Artificial precisam olhar além da adoção de ferramentas. O avanço tecnológico é importante, mas os principais desafios identificados estão ligados à capacidade de transformar dados em valor para o negócio, alinhar expectativas entre áreas e criar condições para atrair, desenvolver e reter profissionais qualificados.</w:t>
      </w:r>
    </w:p>
    <w:p w14:paraId="25275AC0" w14:textId="77777777" w:rsidR="00A96744" w:rsidRDefault="00000000" w:rsidP="00504884">
      <w:pPr>
        <w:spacing w:before="150" w:after="80" w:line="276" w:lineRule="auto"/>
        <w:jc w:val="center"/>
      </w:pPr>
      <w:r>
        <w:rPr>
          <w:noProof/>
        </w:rPr>
        <w:drawing>
          <wp:inline distT="0" distB="0" distL="0" distR="0" wp14:anchorId="4F028CA5" wp14:editId="2FDA6E6F">
            <wp:extent cx="4457700" cy="2466975"/>
            <wp:effectExtent l="0" t="0" r="0" b="0"/>
            <wp:docPr id="210973165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12CA6" w14:textId="77777777" w:rsidR="00A96744" w:rsidRDefault="00000000" w:rsidP="00504884">
      <w:pPr>
        <w:spacing w:after="250" w:line="276" w:lineRule="auto"/>
        <w:jc w:val="center"/>
      </w:pPr>
      <w:r>
        <w:rPr>
          <w:i/>
          <w:iCs/>
          <w:color w:val="5A5A5A"/>
          <w:sz w:val="18"/>
          <w:szCs w:val="18"/>
        </w:rPr>
        <w:t>Figura 12 — Principais desafios relatados por gestores de dados.</w:t>
      </w:r>
    </w:p>
    <w:p w14:paraId="00AABF4A" w14:textId="77777777" w:rsidR="00A96744" w:rsidRPr="0070763A" w:rsidRDefault="00000000" w:rsidP="0070763A">
      <w:pPr>
        <w:spacing w:line="276" w:lineRule="auto"/>
        <w:jc w:val="both"/>
        <w:rPr>
          <w:sz w:val="22"/>
          <w:szCs w:val="22"/>
        </w:rPr>
      </w:pPr>
      <w:r w:rsidRPr="0070763A">
        <w:rPr>
          <w:sz w:val="22"/>
          <w:szCs w:val="22"/>
        </w:rPr>
        <w:t>Entre os desafios relatados por gestores de dados, o principal ponto de atenção é gerenciar expectativas das áreas de negócio, com 13,1% das menções. Em seguida aparece a dificuldade de dividir o tempo entre entregas técnicas e atividades de gestão, com 11,8%. A Figura 12 também mostra outros desafios relevantes: gerar valor para o negócio representa 10,2% das menções, qualidade da informação aparece com 10,1% e levar inovação soma 8,4%. Juntos, os cinco principais desafios representam 53,6% das menções totais, reforçando que a maturidade em dados depende de governança, clareza estratégica e integração entre as equipes técnicas e as áreas usuárias.</w:t>
      </w:r>
    </w:p>
    <w:p w14:paraId="31792B69" w14:textId="77777777" w:rsidR="00A96744" w:rsidRPr="0070763A" w:rsidRDefault="00000000" w:rsidP="0070763A">
      <w:pPr>
        <w:spacing w:line="276" w:lineRule="auto"/>
        <w:jc w:val="both"/>
        <w:rPr>
          <w:b/>
          <w:bCs/>
          <w:color w:val="C00000"/>
          <w:sz w:val="22"/>
          <w:szCs w:val="22"/>
        </w:rPr>
      </w:pPr>
      <w:r w:rsidRPr="0070763A">
        <w:rPr>
          <w:sz w:val="22"/>
          <w:szCs w:val="22"/>
        </w:rPr>
        <w:t xml:space="preserve">Para uma instituição financeira de grande porte, esse cenário representa uma oportunidade importante. O setor financeiro já aparece entre os mais relevantes no mercado brasileiro de dados, favorecendo a atração </w:t>
      </w:r>
      <w:r w:rsidRPr="0070763A">
        <w:rPr>
          <w:sz w:val="22"/>
          <w:szCs w:val="22"/>
        </w:rPr>
        <w:lastRenderedPageBreak/>
        <w:t>de talentos. Ao mesmo tempo, a competitividade do setor aumenta a disputa por profissionais experientes. Outro ponto crítico é a retenção: entre 19% e 20,5% dos respondentes, a depender do ano analisado, estão simultaneamente insatisfeitos e buscando uma nova oportunidade, o que sinaliza risco de rotatividade e possível perda de conhecimento acumulado.</w:t>
      </w:r>
    </w:p>
    <w:p w14:paraId="57C81546" w14:textId="77777777" w:rsidR="00A96744" w:rsidRDefault="00000000" w:rsidP="0070763A">
      <w:pPr>
        <w:pStyle w:val="Ttulo2"/>
        <w:spacing w:before="300" w:after="150" w:line="276" w:lineRule="auto"/>
        <w:jc w:val="both"/>
      </w:pPr>
      <w:r>
        <w:t>9.1 Recomendações Estratégicas</w:t>
      </w:r>
    </w:p>
    <w:p w14:paraId="31E4F96E" w14:textId="6EFFF832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 xml:space="preserve">Tecnologia: priorizar AWS como plataforma cloud principal, mantendo Python e Power BI como ferramentas centrais da </w:t>
      </w:r>
      <w:proofErr w:type="spellStart"/>
      <w:r>
        <w:rPr>
          <w:color w:val="1F1F1F"/>
          <w:sz w:val="22"/>
          <w:szCs w:val="22"/>
        </w:rPr>
        <w:t>stack</w:t>
      </w:r>
      <w:proofErr w:type="spellEnd"/>
      <w:r>
        <w:rPr>
          <w:color w:val="1F1F1F"/>
          <w:sz w:val="22"/>
          <w:szCs w:val="22"/>
        </w:rPr>
        <w:t xml:space="preserve"> analítica. Essa escolha está alinhada ao comportamento observado no mercado </w:t>
      </w:r>
      <w:r w:rsidR="003B5C72">
        <w:rPr>
          <w:color w:val="1F1F1F"/>
          <w:sz w:val="22"/>
          <w:szCs w:val="22"/>
        </w:rPr>
        <w:t>e</w:t>
      </w:r>
      <w:r>
        <w:rPr>
          <w:color w:val="1F1F1F"/>
          <w:sz w:val="22"/>
          <w:szCs w:val="22"/>
        </w:rPr>
        <w:t xml:space="preserve"> ao pipeline desenvolvido no projeto, que utiliza S3,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e Athena para ingestão, tratamento, consulta e validação dos dados.</w:t>
      </w:r>
    </w:p>
    <w:p w14:paraId="3841CEC6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Capacitação em IA: investir em treinamentos formais sobre Inteligência Artificial generativa, com foco em casos de uso aplicáveis ao negócio. Como a principal barreira identificada está relacionada à falta de compreensão dos casos de uso e à falta de expertise, a empresa pode ganhar vantagem competitiva ao estruturar uma estratégia de IA antes que essa prática esteja plenamente consolidada no mercado.</w:t>
      </w:r>
    </w:p>
    <w:p w14:paraId="4FA6454A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Diversidade: criar ações específicas para retenção e promoção de mulheres, principalmente nos níveis Pleno e Sênior. Os dados indicam queda na representatividade feminina conforme aumenta a senioridade, o que aponta para a necessidade de acompanhar progressão de carreira, equidade salarial e acesso a posições de maior responsabilidade.</w:t>
      </w:r>
    </w:p>
    <w:p w14:paraId="38BD0D09" w14:textId="08F6184A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 xml:space="preserve">Modelo de trabalho: manter políticas flexíveis de trabalho remoto e híbrido como estratégia de ampliação do funil de recrutamento. Como o Sudeste concentra a maior parte dos profissionais </w:t>
      </w:r>
      <w:r w:rsidR="0070763A">
        <w:rPr>
          <w:color w:val="1F1F1F"/>
          <w:sz w:val="22"/>
          <w:szCs w:val="22"/>
        </w:rPr>
        <w:t>e</w:t>
      </w:r>
      <w:r>
        <w:rPr>
          <w:color w:val="1F1F1F"/>
          <w:sz w:val="22"/>
          <w:szCs w:val="22"/>
        </w:rPr>
        <w:t xml:space="preserve"> os maiores salários, a flexibilidade permite acessar talentos de outras regiões e reduzir a dependência de um único eixo geográfico.</w:t>
      </w:r>
    </w:p>
    <w:p w14:paraId="47A9F45A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 xml:space="preserve">Gestão: desenvolver gestores de dados em comunicação, priorização e gestão de expectativas com as áreas de negócio. O maior desafio citado pelos gestores não é puramente técnico, mas organizacional, o que torna essencial fortalecer a ponte entre times analíticos e áreas </w:t>
      </w:r>
      <w:proofErr w:type="spellStart"/>
      <w:r>
        <w:rPr>
          <w:color w:val="1F1F1F"/>
          <w:sz w:val="22"/>
          <w:szCs w:val="22"/>
        </w:rPr>
        <w:t>decisoras</w:t>
      </w:r>
      <w:proofErr w:type="spellEnd"/>
      <w:r>
        <w:rPr>
          <w:color w:val="1F1F1F"/>
          <w:sz w:val="22"/>
          <w:szCs w:val="22"/>
        </w:rPr>
        <w:t>.</w:t>
      </w:r>
    </w:p>
    <w:p w14:paraId="5E0FF19E" w14:textId="77777777" w:rsidR="00A96744" w:rsidRDefault="00000000" w:rsidP="007076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1F1F1F"/>
          <w:sz w:val="22"/>
          <w:szCs w:val="22"/>
        </w:rPr>
        <w:t>Retenção: monitorar continuamente profissionais insatisfeitos e com intenção de mudança de emprego. Esse indicador deve ser tratado como sinal antecipado de risco de rotatividade, permitindo ações preventivas de desenvolvimento, reconhecimento, mobilidade interna e revisão de condições de trabalho.</w:t>
      </w:r>
    </w:p>
    <w:p w14:paraId="24B51AD5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t>10. Conclusão</w:t>
      </w:r>
    </w:p>
    <w:p w14:paraId="52D32E73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 xml:space="preserve">Este relatório apresentou um diagnóstico do mercado brasileiro de Dados, </w:t>
      </w:r>
      <w:proofErr w:type="spellStart"/>
      <w:r>
        <w:rPr>
          <w:color w:val="1F1F1F"/>
          <w:sz w:val="22"/>
          <w:szCs w:val="22"/>
        </w:rPr>
        <w:t>Analytics</w:t>
      </w:r>
      <w:proofErr w:type="spellEnd"/>
      <w:r>
        <w:rPr>
          <w:color w:val="1F1F1F"/>
          <w:sz w:val="22"/>
          <w:szCs w:val="22"/>
        </w:rPr>
        <w:t xml:space="preserve"> e Inteligência Artificial a partir de 14.002 respondentes válidos das três edições analisadas da pesquisa </w:t>
      </w:r>
      <w:proofErr w:type="spellStart"/>
      <w:r>
        <w:rPr>
          <w:color w:val="1F1F1F"/>
          <w:sz w:val="22"/>
          <w:szCs w:val="22"/>
        </w:rPr>
        <w:t>State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of</w:t>
      </w:r>
      <w:proofErr w:type="spellEnd"/>
      <w:r>
        <w:rPr>
          <w:color w:val="1F1F1F"/>
          <w:sz w:val="22"/>
          <w:szCs w:val="22"/>
        </w:rPr>
        <w:t xml:space="preserve"> Data Brasil. As respostas às perguntas de negócio foram construídas com base em dados tratados, organizados e validados em uma arquitetura de dados na AWS, utilizando S3,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>, Athena e tabelas nas camadas Bronze, Silver e Gold.</w:t>
      </w:r>
    </w:p>
    <w:p w14:paraId="0AA9E026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 xml:space="preserve">Os resultados indicam um mercado em consolidação, ainda concentrado em Finanças, Tecnologia e na região Sudeste, mas marcado por mudanças relevantes. A AWS ganhou força como plataforma cloud, Python se mantém como principal linguagem da área, Power BI aparece como ferramenta dominante de </w:t>
      </w:r>
      <w:r>
        <w:rPr>
          <w:color w:val="1F1F1F"/>
          <w:sz w:val="22"/>
          <w:szCs w:val="22"/>
        </w:rPr>
        <w:lastRenderedPageBreak/>
        <w:t>Business Intelligence e a adoção individual de Inteligência Artificial generativa já se tornou praticamente universal entre os profissionais analisados.</w:t>
      </w:r>
    </w:p>
    <w:p w14:paraId="3208DAA3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Ao mesmo tempo, os dados mostram desafios estruturais que não podem ser resolvidos apenas com tecnologia. A desigualdade de gênero na progressão de carreira, o risco de retenção de talentos, as diferenças regionais de remuneração e a dificuldade dos gestores em alinhar expectativas com as áreas de negócio indicam que empresas maduras em dados precisam combinar investimento técnico com estratégia de pessoas, governança e cultura analítica.</w:t>
      </w:r>
    </w:p>
    <w:p w14:paraId="18B867F9" w14:textId="77777777" w:rsidR="00A96744" w:rsidRDefault="00000000" w:rsidP="0070763A">
      <w:pPr>
        <w:spacing w:after="200" w:line="276" w:lineRule="auto"/>
        <w:jc w:val="both"/>
      </w:pPr>
      <w:r>
        <w:rPr>
          <w:color w:val="1F1F1F"/>
          <w:sz w:val="22"/>
          <w:szCs w:val="22"/>
        </w:rPr>
        <w:t>Para a Instituição Financeira, o principal valor deste diagnóstico está em orientar decisões práticas. A recomendação é fortalecer a base tecnológica em AWS, Python e Power BI, estruturar programas de capacitação em IA generativa, ampliar políticas de retenção e diversidade, manter modelos flexíveis de trabalho e preparar gestores para conectar dados às prioridades do negócio. Dessa forma, o investimento em Dados e IA deixa de ser apenas uma iniciativa tecnológica e passa a compor uma estratégia organizacional mais ampla.</w:t>
      </w:r>
    </w:p>
    <w:p w14:paraId="75797D3E" w14:textId="77777777" w:rsidR="00A96744" w:rsidRDefault="00000000" w:rsidP="0070763A">
      <w:pPr>
        <w:spacing w:line="276" w:lineRule="auto"/>
        <w:jc w:val="both"/>
      </w:pPr>
      <w:r>
        <w:br w:type="page"/>
      </w:r>
    </w:p>
    <w:p w14:paraId="50C69FCB" w14:textId="77777777" w:rsidR="00A96744" w:rsidRDefault="00000000" w:rsidP="0070763A">
      <w:pPr>
        <w:pStyle w:val="Ttulo1"/>
        <w:spacing w:before="400" w:after="200" w:line="276" w:lineRule="auto"/>
        <w:jc w:val="both"/>
      </w:pPr>
      <w:r>
        <w:lastRenderedPageBreak/>
        <w:t>Anexo — Fontes e Entregáveis Técnicos</w:t>
      </w:r>
    </w:p>
    <w:p w14:paraId="6EED1AB7" w14:textId="77777777" w:rsidR="00A96744" w:rsidRDefault="00000000" w:rsidP="0070763A">
      <w:pPr>
        <w:spacing w:after="200" w:line="276" w:lineRule="auto"/>
        <w:jc w:val="both"/>
      </w:pPr>
      <w:r>
        <w:rPr>
          <w:b/>
          <w:bCs/>
          <w:color w:val="1F3864"/>
          <w:sz w:val="22"/>
          <w:szCs w:val="22"/>
        </w:rPr>
        <w:t xml:space="preserve">Fonte de dados: </w:t>
      </w:r>
      <w:proofErr w:type="spellStart"/>
      <w:r>
        <w:rPr>
          <w:color w:val="1F1F1F"/>
          <w:sz w:val="22"/>
          <w:szCs w:val="22"/>
        </w:rPr>
        <w:t>State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of</w:t>
      </w:r>
      <w:proofErr w:type="spellEnd"/>
      <w:r>
        <w:rPr>
          <w:color w:val="1F1F1F"/>
          <w:sz w:val="22"/>
          <w:szCs w:val="22"/>
        </w:rPr>
        <w:t xml:space="preserve"> Data Brasil, Data Hackers + Bain, edições 2023, 2024 e 2025 (</w:t>
      </w:r>
      <w:proofErr w:type="spellStart"/>
      <w:r>
        <w:rPr>
          <w:color w:val="1F1F1F"/>
          <w:sz w:val="22"/>
          <w:szCs w:val="22"/>
        </w:rPr>
        <w:t>Kaggle</w:t>
      </w:r>
      <w:proofErr w:type="spellEnd"/>
      <w:r>
        <w:rPr>
          <w:color w:val="1F1F1F"/>
          <w:sz w:val="22"/>
          <w:szCs w:val="22"/>
        </w:rPr>
        <w:t>).</w:t>
      </w:r>
    </w:p>
    <w:p w14:paraId="35BE61CA" w14:textId="32E78E95" w:rsidR="0070763A" w:rsidRDefault="00000000">
      <w:pPr>
        <w:spacing w:after="200" w:line="300" w:lineRule="auto"/>
        <w:rPr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 xml:space="preserve">Entregáveis técnicos anexos a este relatório: </w:t>
      </w:r>
    </w:p>
    <w:p w14:paraId="7D31E23E" w14:textId="77777777" w:rsidR="0070763A" w:rsidRDefault="0070763A">
      <w:pPr>
        <w:spacing w:after="200" w:line="300" w:lineRule="auto"/>
        <w:rPr>
          <w:sz w:val="22"/>
          <w:szCs w:val="22"/>
        </w:rPr>
      </w:pPr>
      <w:r w:rsidRPr="002B67A9">
        <w:rPr>
          <w:b/>
          <w:bCs/>
          <w:sz w:val="22"/>
          <w:szCs w:val="22"/>
        </w:rPr>
        <w:t>1.</w:t>
      </w:r>
      <w:r w:rsidRPr="0070763A">
        <w:rPr>
          <w:sz w:val="22"/>
          <w:szCs w:val="22"/>
        </w:rPr>
        <w:t xml:space="preserve"> Tech_Challenge_Fase3_01_ETL_Bronze_Silver.py — Script </w:t>
      </w:r>
      <w:proofErr w:type="spellStart"/>
      <w:r w:rsidRPr="0070763A">
        <w:rPr>
          <w:sz w:val="22"/>
          <w:szCs w:val="22"/>
        </w:rPr>
        <w:t>PySpark</w:t>
      </w:r>
      <w:proofErr w:type="spellEnd"/>
      <w:r w:rsidRPr="0070763A">
        <w:rPr>
          <w:sz w:val="22"/>
          <w:szCs w:val="22"/>
        </w:rPr>
        <w:t xml:space="preserve"> do </w:t>
      </w:r>
      <w:proofErr w:type="spellStart"/>
      <w:r w:rsidRPr="0070763A">
        <w:rPr>
          <w:sz w:val="22"/>
          <w:szCs w:val="22"/>
        </w:rPr>
        <w:t>Glue</w:t>
      </w:r>
      <w:proofErr w:type="spellEnd"/>
      <w:r w:rsidRPr="0070763A">
        <w:rPr>
          <w:sz w:val="22"/>
          <w:szCs w:val="22"/>
        </w:rPr>
        <w:t xml:space="preserve"> </w:t>
      </w:r>
      <w:proofErr w:type="spellStart"/>
      <w:r w:rsidRPr="0070763A">
        <w:rPr>
          <w:sz w:val="22"/>
          <w:szCs w:val="22"/>
        </w:rPr>
        <w:t>Job</w:t>
      </w:r>
      <w:proofErr w:type="spellEnd"/>
      <w:r w:rsidRPr="0070763A">
        <w:rPr>
          <w:sz w:val="22"/>
          <w:szCs w:val="22"/>
        </w:rPr>
        <w:t xml:space="preserve"> de ETL Bronze → Silver </w:t>
      </w:r>
    </w:p>
    <w:p w14:paraId="7C39E83B" w14:textId="77777777" w:rsidR="0070763A" w:rsidRDefault="0070763A">
      <w:pPr>
        <w:spacing w:after="200" w:line="300" w:lineRule="auto"/>
        <w:rPr>
          <w:sz w:val="22"/>
          <w:szCs w:val="22"/>
        </w:rPr>
      </w:pPr>
      <w:r w:rsidRPr="002B67A9">
        <w:rPr>
          <w:b/>
          <w:bCs/>
          <w:sz w:val="22"/>
          <w:szCs w:val="22"/>
        </w:rPr>
        <w:t>2.</w:t>
      </w:r>
      <w:r w:rsidRPr="0070763A">
        <w:rPr>
          <w:sz w:val="22"/>
          <w:szCs w:val="22"/>
        </w:rPr>
        <w:t xml:space="preserve"> Tech_Challenge_Fase3_02_Modelagem_Silver_Gold.ipynb — Notebook do </w:t>
      </w:r>
      <w:proofErr w:type="spellStart"/>
      <w:r w:rsidRPr="0070763A">
        <w:rPr>
          <w:sz w:val="22"/>
          <w:szCs w:val="22"/>
        </w:rPr>
        <w:t>Glue</w:t>
      </w:r>
      <w:proofErr w:type="spellEnd"/>
      <w:r w:rsidRPr="0070763A">
        <w:rPr>
          <w:sz w:val="22"/>
          <w:szCs w:val="22"/>
        </w:rPr>
        <w:t xml:space="preserve"> Studio de modelagem Silver → Gold </w:t>
      </w:r>
    </w:p>
    <w:p w14:paraId="12C03653" w14:textId="77777777" w:rsidR="0070763A" w:rsidRDefault="0070763A">
      <w:pPr>
        <w:spacing w:after="200" w:line="300" w:lineRule="auto"/>
        <w:rPr>
          <w:sz w:val="22"/>
          <w:szCs w:val="22"/>
        </w:rPr>
      </w:pPr>
      <w:r w:rsidRPr="002B67A9">
        <w:rPr>
          <w:b/>
          <w:bCs/>
          <w:sz w:val="22"/>
          <w:szCs w:val="22"/>
        </w:rPr>
        <w:t>3.</w:t>
      </w:r>
      <w:r w:rsidRPr="0070763A">
        <w:rPr>
          <w:sz w:val="22"/>
          <w:szCs w:val="22"/>
        </w:rPr>
        <w:t xml:space="preserve"> Tech_Challenge_Fase3_03_Consultas_e_Graficos.ipynb — Notebook do </w:t>
      </w:r>
      <w:proofErr w:type="spellStart"/>
      <w:r w:rsidRPr="0070763A">
        <w:rPr>
          <w:sz w:val="22"/>
          <w:szCs w:val="22"/>
        </w:rPr>
        <w:t>Glue</w:t>
      </w:r>
      <w:proofErr w:type="spellEnd"/>
      <w:r w:rsidRPr="0070763A">
        <w:rPr>
          <w:sz w:val="22"/>
          <w:szCs w:val="22"/>
        </w:rPr>
        <w:t xml:space="preserve"> Studio de consultas analíticas e geração dos gráficos executivos </w:t>
      </w:r>
    </w:p>
    <w:p w14:paraId="1C23CDED" w14:textId="77777777" w:rsidR="0070763A" w:rsidRDefault="0070763A">
      <w:pPr>
        <w:spacing w:after="200" w:line="300" w:lineRule="auto"/>
        <w:rPr>
          <w:sz w:val="22"/>
          <w:szCs w:val="22"/>
        </w:rPr>
      </w:pPr>
      <w:r w:rsidRPr="002B67A9">
        <w:rPr>
          <w:b/>
          <w:bCs/>
          <w:sz w:val="22"/>
          <w:szCs w:val="22"/>
        </w:rPr>
        <w:t>4.</w:t>
      </w:r>
      <w:r w:rsidRPr="0070763A">
        <w:rPr>
          <w:sz w:val="22"/>
          <w:szCs w:val="22"/>
        </w:rPr>
        <w:t xml:space="preserve"> Arquitetura</w:t>
      </w:r>
      <w:proofErr w:type="gramStart"/>
      <w:r w:rsidRPr="0070763A">
        <w:rPr>
          <w:sz w:val="22"/>
          <w:szCs w:val="22"/>
        </w:rPr>
        <w:t>_Tech</w:t>
      </w:r>
      <w:proofErr w:type="gramEnd"/>
      <w:r w:rsidRPr="0070763A">
        <w:rPr>
          <w:sz w:val="22"/>
          <w:szCs w:val="22"/>
        </w:rPr>
        <w:t xml:space="preserve">_Challenge_Fase3.drawio — Diagrama da </w:t>
      </w:r>
      <w:r w:rsidRPr="0070763A">
        <w:rPr>
          <w:sz w:val="22"/>
          <w:szCs w:val="22"/>
        </w:rPr>
        <w:t>a</w:t>
      </w:r>
      <w:r w:rsidRPr="0070763A">
        <w:rPr>
          <w:sz w:val="22"/>
          <w:szCs w:val="22"/>
        </w:rPr>
        <w:t xml:space="preserve">rquitetura da solução </w:t>
      </w:r>
    </w:p>
    <w:p w14:paraId="7BB370A4" w14:textId="72F0D4E2" w:rsidR="0070763A" w:rsidRPr="0070763A" w:rsidRDefault="0070763A">
      <w:pPr>
        <w:spacing w:after="200" w:line="300" w:lineRule="auto"/>
        <w:rPr>
          <w:sz w:val="22"/>
          <w:szCs w:val="22"/>
        </w:rPr>
      </w:pPr>
      <w:r w:rsidRPr="002B67A9">
        <w:rPr>
          <w:b/>
          <w:bCs/>
          <w:sz w:val="22"/>
          <w:szCs w:val="22"/>
        </w:rPr>
        <w:t>5.</w:t>
      </w:r>
      <w:r w:rsidRPr="0070763A">
        <w:rPr>
          <w:sz w:val="22"/>
          <w:szCs w:val="22"/>
        </w:rPr>
        <w:t xml:space="preserve"> Tech_Challenge_Fase3_04_Consultas_Athena.sql — Script SQL de consultas de validação no </w:t>
      </w:r>
      <w:proofErr w:type="spellStart"/>
      <w:r w:rsidRPr="0070763A">
        <w:rPr>
          <w:sz w:val="22"/>
          <w:szCs w:val="22"/>
        </w:rPr>
        <w:t>Amazon</w:t>
      </w:r>
      <w:proofErr w:type="spellEnd"/>
      <w:r w:rsidRPr="0070763A">
        <w:rPr>
          <w:sz w:val="22"/>
          <w:szCs w:val="22"/>
        </w:rPr>
        <w:t xml:space="preserve"> Athena</w:t>
      </w:r>
    </w:p>
    <w:p w14:paraId="01C12231" w14:textId="55F03879" w:rsidR="00A96744" w:rsidRDefault="00000000">
      <w:pPr>
        <w:spacing w:after="200" w:line="300" w:lineRule="auto"/>
      </w:pPr>
      <w:r>
        <w:rPr>
          <w:b/>
          <w:bCs/>
          <w:color w:val="1F3864"/>
          <w:sz w:val="22"/>
          <w:szCs w:val="22"/>
        </w:rPr>
        <w:t xml:space="preserve">Ambiente de execução: </w:t>
      </w:r>
      <w:r>
        <w:rPr>
          <w:color w:val="1F1F1F"/>
          <w:sz w:val="22"/>
          <w:szCs w:val="22"/>
        </w:rPr>
        <w:t xml:space="preserve">AWS </w:t>
      </w:r>
      <w:proofErr w:type="spellStart"/>
      <w:r>
        <w:rPr>
          <w:color w:val="1F1F1F"/>
          <w:sz w:val="22"/>
          <w:szCs w:val="22"/>
        </w:rPr>
        <w:t>Academy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Learner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Lab</w:t>
      </w:r>
      <w:proofErr w:type="spellEnd"/>
      <w:r>
        <w:rPr>
          <w:color w:val="1F1F1F"/>
          <w:sz w:val="22"/>
          <w:szCs w:val="22"/>
        </w:rPr>
        <w:t xml:space="preserve"> — 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S3, AWS </w:t>
      </w:r>
      <w:proofErr w:type="spellStart"/>
      <w:r>
        <w:rPr>
          <w:color w:val="1F1F1F"/>
          <w:sz w:val="22"/>
          <w:szCs w:val="22"/>
        </w:rPr>
        <w:t>Glue</w:t>
      </w:r>
      <w:proofErr w:type="spellEnd"/>
      <w:r>
        <w:rPr>
          <w:color w:val="1F1F1F"/>
          <w:sz w:val="22"/>
          <w:szCs w:val="22"/>
        </w:rPr>
        <w:t xml:space="preserve"> (</w:t>
      </w:r>
      <w:proofErr w:type="spellStart"/>
      <w:r>
        <w:rPr>
          <w:color w:val="1F1F1F"/>
          <w:sz w:val="22"/>
          <w:szCs w:val="22"/>
        </w:rPr>
        <w:t>Crawler</w:t>
      </w:r>
      <w:proofErr w:type="spellEnd"/>
      <w:r>
        <w:rPr>
          <w:color w:val="1F1F1F"/>
          <w:sz w:val="22"/>
          <w:szCs w:val="22"/>
        </w:rPr>
        <w:t xml:space="preserve">, ETL Jobs, Data </w:t>
      </w:r>
      <w:proofErr w:type="spellStart"/>
      <w:r>
        <w:rPr>
          <w:color w:val="1F1F1F"/>
          <w:sz w:val="22"/>
          <w:szCs w:val="22"/>
        </w:rPr>
        <w:t>Catalog</w:t>
      </w:r>
      <w:proofErr w:type="spellEnd"/>
      <w:r>
        <w:rPr>
          <w:color w:val="1F1F1F"/>
          <w:sz w:val="22"/>
          <w:szCs w:val="22"/>
        </w:rPr>
        <w:t xml:space="preserve">, Notebooks interativos), </w:t>
      </w:r>
      <w:proofErr w:type="spellStart"/>
      <w:r>
        <w:rPr>
          <w:color w:val="1F1F1F"/>
          <w:sz w:val="22"/>
          <w:szCs w:val="22"/>
        </w:rPr>
        <w:t>Amazon</w:t>
      </w:r>
      <w:proofErr w:type="spellEnd"/>
      <w:r>
        <w:rPr>
          <w:color w:val="1F1F1F"/>
          <w:sz w:val="22"/>
          <w:szCs w:val="22"/>
        </w:rPr>
        <w:t xml:space="preserve"> Athena.</w:t>
      </w:r>
    </w:p>
    <w:sectPr w:rsidR="00A96744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B263" w14:textId="77777777" w:rsidR="00970029" w:rsidRDefault="00970029">
      <w:r>
        <w:separator/>
      </w:r>
    </w:p>
  </w:endnote>
  <w:endnote w:type="continuationSeparator" w:id="0">
    <w:p w14:paraId="7B78B6C3" w14:textId="77777777" w:rsidR="00970029" w:rsidRDefault="0097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31A09F-3CEF-4609-B27A-21A2FCB79324}"/>
  </w:font>
  <w:font w:name="Cardo">
    <w:charset w:val="00"/>
    <w:family w:val="auto"/>
    <w:pitch w:val="default"/>
    <w:embedRegular r:id="rId2" w:fontKey="{51B6DCEE-8F8A-4E70-9426-66E9A99B2150}"/>
    <w:embedItalic r:id="rId3" w:fontKey="{E2046ADF-0CA5-49D7-96F5-922AD6CD0A49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4" w:subsetted="1" w:fontKey="{BE5AEB49-935D-41A8-BEEE-22F57959B3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4C45C9B-AAF2-41A4-982F-98DD5CDC6CF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87C57D06-BA65-4FAB-9A22-30F44B7BF0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9C0F" w14:textId="77777777" w:rsidR="00A96744" w:rsidRDefault="00000000"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1A389E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AFFB5" w14:textId="77777777" w:rsidR="00970029" w:rsidRDefault="00970029">
      <w:r>
        <w:separator/>
      </w:r>
    </w:p>
  </w:footnote>
  <w:footnote w:type="continuationSeparator" w:id="0">
    <w:p w14:paraId="1E4F96B3" w14:textId="77777777" w:rsidR="00970029" w:rsidRDefault="00970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B9C1" w14:textId="77777777" w:rsidR="00A96744" w:rsidRDefault="00000000">
    <w:pPr>
      <w:jc w:val="right"/>
    </w:pPr>
    <w:r>
      <w:rPr>
        <w:color w:val="5A5A5A"/>
        <w:sz w:val="16"/>
        <w:szCs w:val="16"/>
      </w:rPr>
      <w:t xml:space="preserve">Mercado Brasileiro de Dados, </w:t>
    </w:r>
    <w:proofErr w:type="spellStart"/>
    <w:r>
      <w:rPr>
        <w:color w:val="5A5A5A"/>
        <w:sz w:val="16"/>
        <w:szCs w:val="16"/>
      </w:rPr>
      <w:t>Analytics</w:t>
    </w:r>
    <w:proofErr w:type="spellEnd"/>
    <w:r>
      <w:rPr>
        <w:color w:val="5A5A5A"/>
        <w:sz w:val="16"/>
        <w:szCs w:val="16"/>
      </w:rPr>
      <w:t xml:space="preserve"> e IA — Relatório Executivo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09B8"/>
    <w:multiLevelType w:val="multilevel"/>
    <w:tmpl w:val="FA1EE25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9661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744"/>
    <w:rsid w:val="001A389E"/>
    <w:rsid w:val="0020411F"/>
    <w:rsid w:val="002B67A9"/>
    <w:rsid w:val="003B5C72"/>
    <w:rsid w:val="00476C4E"/>
    <w:rsid w:val="004A5A33"/>
    <w:rsid w:val="00504884"/>
    <w:rsid w:val="006444DE"/>
    <w:rsid w:val="0065563B"/>
    <w:rsid w:val="0070763A"/>
    <w:rsid w:val="00854A39"/>
    <w:rsid w:val="00970029"/>
    <w:rsid w:val="00A96744"/>
    <w:rsid w:val="00CB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0912"/>
  <w15:docId w15:val="{EB6F8E91-AB24-44F5-AF7B-73B2DF27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www.kaggle.com/datahackers/dataset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datahackers/state-of-data-brazil-2025-2026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www.kaggle.com/datasets/datahackers/state-of-data-brazil-20242025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kaggle.com/datasets/datahackers/state-of-data-brazil-2023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QUOevfuWHN9WOA80BrusNnI3jw==">CgMxLjAaEgoBMBINCgsIB0IHEgVDYXJkbxoSCgExEg0KCwgHQgcSBUNhcmRvGhQKATISDwoNCAdCCRIHR3VuZ3N1aBoUCgEzEg8KDQgHQgkSB0d1bmdzdWgaEgoBNBINCgsIB0IHEgVDYXJkbzgAciExQkxJUUpOZ1ExdTFlcXJXQWVsQXdsUnZwZGFIS1J5YUU=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673E5F-F330-43D5-8C22-5BE6F7C3A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4087</Words>
  <Characters>22075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DE SOUZA ALMEIDA</cp:lastModifiedBy>
  <cp:revision>2</cp:revision>
  <dcterms:created xsi:type="dcterms:W3CDTF">2026-09-14T02:51:00Z</dcterms:created>
  <dcterms:modified xsi:type="dcterms:W3CDTF">2026-09-14T02:51:00Z</dcterms:modified>
</cp:coreProperties>
</file>