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Funções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Exibição de Mensagem: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chamada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JavaScript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 exiba no console: “Eu gosto de JavaScript”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2 - Contagem de 1 a 5: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contarAteCinco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exiba os números de 1 até 5, um por um.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3 - Saudação: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color w:val="18803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saudacao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exiba uma saudação personalizada como: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"Olá, [nome]! Seja bem-vindo(a)!"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color w:val="18803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4 - Multiplicação de dois números: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multiplicarDoisNumeros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exiba a multiplicação de 5 por 3 no console.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Verificação da 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verificarIdade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exiba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"Maior de idade"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ou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"Menor de idade"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base no valor de uma variável de idade. (Exemplo: 18).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6 - Soma de Dois Números: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somar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receba dois números como parâmetros 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retorne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 soma deles.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7 - Área de um Retângulo: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calcularAreaRetangulo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receba a largura e a altura de um retângulo como parâmetros 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retorne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 área (largura * altura).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8 - Área de um Retângulo: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compararIdade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receba duas idades 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retorne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qual pessoa é mais velha.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