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Orientação a Objeto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Crie uma classe 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6"/>
          <w:szCs w:val="26"/>
          <w:rtl w:val="0"/>
        </w:rPr>
        <w:t xml:space="preserve">Livro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Atributos: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titulo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autor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paginas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Método: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mostrarDetalhes()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 todas as informações do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Classe 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6"/>
          <w:szCs w:val="26"/>
          <w:rtl w:val="0"/>
        </w:rPr>
        <w:t xml:space="preserve">ContaBancaria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Atributos: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titular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saldo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Métodos: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depositar(valor)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sacar(valor)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verSaldo()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Classe 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6"/>
          <w:szCs w:val="26"/>
          <w:rtl w:val="0"/>
        </w:rPr>
        <w:t xml:space="preserve">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Atributos: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nome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especie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idade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Método: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falar()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Exibe uma frase diferente para cada espécie (Ex: cachorro = “Au au!”, gato = “Miau!”)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Classe 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6"/>
          <w:szCs w:val="26"/>
          <w:rtl w:val="0"/>
        </w:rPr>
        <w:t xml:space="preserve">Filme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Atributos: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titulo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genero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duracao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Método: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assistir()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Mostra: "Você está assistindo [título], que dura [duração] minutos."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Classe 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6"/>
          <w:szCs w:val="26"/>
          <w:rtl w:val="0"/>
        </w:rPr>
        <w:t xml:space="preserve">Musica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Atributos: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titulo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artista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tempo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Método: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tocar()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Mostra uma mensagem como: “Tocando 'titulo' de artista.”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