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Montserrat" w:cs="Montserrat" w:eastAsia="Montserrat" w:hAnsi="Montserrat"/>
          <w:b w:val="1"/>
          <w:color w:val="000000"/>
        </w:rPr>
      </w:pPr>
      <w:bookmarkStart w:colFirst="0" w:colLast="0" w:name="_4k5bqbnpv03w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0000"/>
          <w:rtl w:val="0"/>
        </w:rPr>
        <w:t xml:space="preserve">Simulador de Caixa – Loja de Doces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Você está criando o sistema de vendas de uma loja de uma doceria. O caixa deve registrar os pedidos e calcular o valor da compra com precisão.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Requisitos: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Permitir adicionar produtos como balas, chocolates, pirulitos, cupcakes etc., com nome e valor.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Exibir a lista dos doces escolhidos com seus respectivos valores.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Calcular automaticamente o valor total da compra.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Receber o valor pago pelo cliente.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Calcular e mostrar o troco.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Ter um botão de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“Limpar Compra”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que reinicia o sistema.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Interface colorida e atrativa, com imagens/emojis de doces e sobremesas 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</w:rPr>
      </w:pPr>
      <w:bookmarkStart w:colFirst="0" w:colLast="0" w:name="_wiy7hna7u0hc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Desafio extra: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Promoção: A cada 4 doces, o 5º é grátis.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