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0996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s-CO" w:eastAsia="es-CO"/>
          <w14:ligatures w14:val="none"/>
        </w:rPr>
        <w:t>Plan de Recolección y Análisis de Datos</w:t>
      </w:r>
    </w:p>
    <w:p w14:paraId="132546A6" w14:textId="6AFDD338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s-CO" w:eastAsia="es-CO"/>
          <w14:ligatures w14:val="none"/>
        </w:rPr>
        <w:t>Adaptaciones de los negocios de muebles ubicados en la Avenida Primera de Mayo frente a la variación en sus ingresos durante la construcción de la estación E7 del Metro de Bogotá</w:t>
      </w:r>
    </w:p>
    <w:p w14:paraId="1814144A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1. Características del trabajo de campo</w:t>
      </w:r>
    </w:p>
    <w:p w14:paraId="555B2762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1.1. Número de observaciones</w:t>
      </w:r>
    </w:p>
    <w:p w14:paraId="766EE696" w14:textId="71860EF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Se aplicará un total de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20 encuestas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a establecimientos comerciales del sector de muebles ubicados sobre la Avenida Primera de Mayo, en Bogotá.</w:t>
      </w:r>
    </w:p>
    <w:p w14:paraId="17910720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1.2. Localización y cronograma de recolección</w:t>
      </w:r>
    </w:p>
    <w:p w14:paraId="31CB0934" w14:textId="77777777" w:rsidR="00602FBC" w:rsidRPr="00602FBC" w:rsidRDefault="00602FBC" w:rsidP="00602FB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Lugar de aplicación: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Tramo de la Avenida Primera de Mayo comprendido entre la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Carrera 68 y la Carrera 50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, zona directamente afectada por la construcción de la estación E7 del Metro de Bogotá.</w:t>
      </w:r>
    </w:p>
    <w:p w14:paraId="552CDAAB" w14:textId="77777777" w:rsidR="00602FBC" w:rsidRPr="00602FBC" w:rsidRDefault="00602FBC" w:rsidP="00602FB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Fecha de recolección: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gramStart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Sábado</w:t>
      </w:r>
      <w:proofErr w:type="gramEnd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10 de mayo de 2025.</w:t>
      </w:r>
    </w:p>
    <w:p w14:paraId="34CDB69A" w14:textId="77777777" w:rsidR="00602FBC" w:rsidRPr="00602FBC" w:rsidRDefault="00602FBC" w:rsidP="00602FB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Horario estimado:</w:t>
      </w:r>
    </w:p>
    <w:p w14:paraId="24A04433" w14:textId="7C966EB5" w:rsidR="00602FBC" w:rsidRPr="00602FBC" w:rsidRDefault="00602FBC" w:rsidP="00602FBC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Jornada: </w:t>
      </w:r>
      <w:r w:rsidR="00691D16" w:rsidRPr="00691D1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11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:00 a.m. – </w:t>
      </w:r>
      <w:r w:rsidR="00691D1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:00 </w:t>
      </w:r>
      <w:proofErr w:type="spellStart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p.m</w:t>
      </w:r>
      <w:proofErr w:type="spellEnd"/>
    </w:p>
    <w:p w14:paraId="336522EF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1.3. Distribución de la recolección</w:t>
      </w:r>
    </w:p>
    <w:p w14:paraId="49F9EC76" w14:textId="3CA62D95" w:rsidR="00602FBC" w:rsidRPr="00602FBC" w:rsidRDefault="00170937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Se </w:t>
      </w:r>
      <w:proofErr w:type="spellStart"/>
      <w:r w:rsidR="00602FBC"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dividir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</w:t>
      </w:r>
      <w:proofErr w:type="spellEnd"/>
      <w:r w:rsidR="00602FBC"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el área en dos tramos para optimizar el tiempo y la cobertura:</w:t>
      </w:r>
    </w:p>
    <w:p w14:paraId="13F14934" w14:textId="3B63291B" w:rsidR="00602FBC" w:rsidRPr="00602FBC" w:rsidRDefault="00602FBC" w:rsidP="00602FB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Tramo 1: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</w:t>
      </w:r>
      <w:r w:rsidR="00691D1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Avenida 68</w:t>
      </w:r>
    </w:p>
    <w:p w14:paraId="0F05D561" w14:textId="51A4055B" w:rsidR="00691D16" w:rsidRDefault="00602FBC" w:rsidP="00691D16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Tramo 2: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</w:t>
      </w:r>
      <w:r w:rsidR="00691D16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Avenida primera de mayo</w:t>
      </w:r>
    </w:p>
    <w:p w14:paraId="1C6E57DE" w14:textId="254972D3" w:rsidR="00170937" w:rsidRPr="00170937" w:rsidRDefault="00170937" w:rsidP="0017093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17093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Cada grupo est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ará</w:t>
      </w:r>
      <w:r w:rsidRPr="00170937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encargado de realizar 10 encuestas</w:t>
      </w:r>
    </w:p>
    <w:p w14:paraId="71C4B39B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1.4. Instrumento de recolección</w:t>
      </w:r>
    </w:p>
    <w:p w14:paraId="6D1BD756" w14:textId="60341FBA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lastRenderedPageBreak/>
        <w:t xml:space="preserve">La encuesta será administrada por medio de un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 xml:space="preserve">formulario digital de Google </w:t>
      </w:r>
      <w:proofErr w:type="spellStart"/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Forms</w:t>
      </w:r>
      <w:proofErr w:type="spellEnd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, cargado previamente en un dispositivo móvil (celular o tableta). La duración estimada para cada aplicación es de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5 a 7 minutos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.</w:t>
      </w:r>
    </w:p>
    <w:p w14:paraId="6020F261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1.5. Forma de abordaje de los encuestados</w:t>
      </w:r>
    </w:p>
    <w:p w14:paraId="6AFF620E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El abordaje se realizará de forma presencial, invitando a los comerciantes a participar en el estudio. La encuesta está diseñada en formato digital (Google </w:t>
      </w:r>
      <w:proofErr w:type="spellStart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Forms</w:t>
      </w:r>
      <w:proofErr w:type="spellEnd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), y podrá ser diligenciada directamente desde el dispositivo del encuestador.</w:t>
      </w:r>
    </w:p>
    <w:p w14:paraId="6261A5B9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Antes de iniciar, el encuestado deberá leer y aceptar un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consentimiento informado digital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contenido en la primera sección del formulario, el cual establece:</w:t>
      </w:r>
    </w:p>
    <w:p w14:paraId="571FA71D" w14:textId="77777777" w:rsidR="00602FBC" w:rsidRPr="00602FBC" w:rsidRDefault="00602FBC" w:rsidP="00602FB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El carácter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voluntario y anónimo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de su participación.</w:t>
      </w:r>
    </w:p>
    <w:p w14:paraId="745AD581" w14:textId="77777777" w:rsidR="00602FBC" w:rsidRPr="00602FBC" w:rsidRDefault="00602FBC" w:rsidP="00602FB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El uso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exclusivamente académico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de la información recolectada.</w:t>
      </w:r>
    </w:p>
    <w:p w14:paraId="5BBDAB20" w14:textId="77777777" w:rsidR="00602FBC" w:rsidRPr="00602FBC" w:rsidRDefault="00602FBC" w:rsidP="00602FB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La posibilidad de abstenerse de responder cualquier pregunta o de retirarse en cualquier momento.</w:t>
      </w:r>
    </w:p>
    <w:p w14:paraId="34BC890E" w14:textId="184C023D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La aplicación de la encuesta solo continuará si el participante acepta los términos del consentimiento informado.</w:t>
      </w:r>
    </w:p>
    <w:p w14:paraId="3FE2BE38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1.6. Alternativas ante negativa o falta de disponibilidad</w:t>
      </w:r>
    </w:p>
    <w:p w14:paraId="78A845E7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En caso de que el encuestado no desee o no pueda participar en el momento de la visita:</w:t>
      </w:r>
    </w:p>
    <w:p w14:paraId="6A8EADC5" w14:textId="77777777" w:rsidR="00602FBC" w:rsidRPr="00602FBC" w:rsidRDefault="00602FBC" w:rsidP="00602FB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Se le entregará una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tarjeta o volante con código QR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que lo direcciona al formulario, para que pueda diligenciarlo posteriormente desde su dispositivo personal.</w:t>
      </w:r>
    </w:p>
    <w:p w14:paraId="7EAD4C55" w14:textId="77777777" w:rsidR="00602FBC" w:rsidRPr="00602FBC" w:rsidRDefault="00602FBC" w:rsidP="00602FB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También se podrá ofrecer la opción de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responder verbalmente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, mientras el encuestador registra las respuestas directamente en el formulario digital.</w:t>
      </w:r>
    </w:p>
    <w:p w14:paraId="120E2815" w14:textId="622B511E" w:rsidR="00602FBC" w:rsidRDefault="00602FBC" w:rsidP="00602FBC">
      <w:pPr>
        <w:pStyle w:val="Ttulo4"/>
        <w:spacing w:line="360" w:lineRule="auto"/>
        <w:jc w:val="both"/>
        <w:rPr>
          <w:rStyle w:val="Textoennegrita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s-CO"/>
        </w:rPr>
      </w:pPr>
      <w:proofErr w:type="spellStart"/>
      <w:r w:rsidRPr="00602FB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s-CO"/>
        </w:rPr>
        <w:t>iii</w:t>
      </w:r>
      <w:proofErr w:type="spellEnd"/>
      <w:r w:rsidRPr="00602FB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s-CO"/>
        </w:rPr>
        <w:t xml:space="preserve">. </w:t>
      </w:r>
      <w:r w:rsidRPr="00602FBC">
        <w:rPr>
          <w:rStyle w:val="Textoennegrita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s-CO"/>
        </w:rPr>
        <w:t>¿Para qué se va a utilizar cada variable?</w:t>
      </w:r>
    </w:p>
    <w:p w14:paraId="32D3E07D" w14:textId="77777777" w:rsidR="00602FBC" w:rsidRPr="00602FBC" w:rsidRDefault="00602FBC" w:rsidP="00602FBC">
      <w:pPr>
        <w:jc w:val="both"/>
        <w:rPr>
          <w:lang w:val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2132"/>
        <w:gridCol w:w="3879"/>
      </w:tblGrid>
      <w:tr w:rsidR="00602FBC" w:rsidRPr="00602FBC" w14:paraId="37B57E03" w14:textId="77777777" w:rsidTr="00602F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468D3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0" w:type="auto"/>
            <w:vAlign w:val="center"/>
            <w:hideMark/>
          </w:tcPr>
          <w:p w14:paraId="43D62D29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A8F54D1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Uso</w:t>
            </w:r>
            <w:proofErr w:type="spellEnd"/>
            <w:r w:rsidRPr="00602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Analítico</w:t>
            </w:r>
            <w:proofErr w:type="spellEnd"/>
          </w:p>
        </w:tc>
      </w:tr>
      <w:tr w:rsidR="00602FBC" w:rsidRPr="00170937" w14:paraId="3EB20CB3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019BF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del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89A5E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nominal</w:t>
            </w:r>
          </w:p>
        </w:tc>
        <w:tc>
          <w:tcPr>
            <w:tcW w:w="0" w:type="auto"/>
            <w:vAlign w:val="center"/>
            <w:hideMark/>
          </w:tcPr>
          <w:p w14:paraId="5EA6C3CA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Identificación (no se publica, solo para control interno)</w:t>
            </w:r>
          </w:p>
        </w:tc>
      </w:tr>
      <w:tr w:rsidR="00602FBC" w:rsidRPr="00170937" w14:paraId="69CBA4EE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E1395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Antigüedad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20BD3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Cuantitativa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discreta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C8F8C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Control de experiencia/estabilidad del negocio</w:t>
            </w:r>
          </w:p>
        </w:tc>
      </w:tr>
      <w:tr w:rsidR="00602FBC" w:rsidRPr="00170937" w14:paraId="116501A0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32BB5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del local</w:t>
            </w:r>
          </w:p>
        </w:tc>
        <w:tc>
          <w:tcPr>
            <w:tcW w:w="0" w:type="auto"/>
            <w:vAlign w:val="center"/>
            <w:hideMark/>
          </w:tcPr>
          <w:p w14:paraId="77309225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ordinal</w:t>
            </w:r>
          </w:p>
        </w:tc>
        <w:tc>
          <w:tcPr>
            <w:tcW w:w="0" w:type="auto"/>
            <w:vAlign w:val="center"/>
            <w:hideMark/>
          </w:tcPr>
          <w:p w14:paraId="1D639C04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Control de escala del negocio (pequeño/mediano/grande)</w:t>
            </w:r>
          </w:p>
        </w:tc>
      </w:tr>
      <w:tr w:rsidR="00602FBC" w:rsidRPr="00170937" w14:paraId="598FC1AD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C0521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Especialización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DB10E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nominal</w:t>
            </w:r>
          </w:p>
        </w:tc>
        <w:tc>
          <w:tcPr>
            <w:tcW w:w="0" w:type="auto"/>
            <w:vAlign w:val="center"/>
            <w:hideMark/>
          </w:tcPr>
          <w:p w14:paraId="625E5FD8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Análisis de adaptación según tipo de producto</w:t>
            </w:r>
          </w:p>
        </w:tc>
      </w:tr>
      <w:tr w:rsidR="00602FBC" w:rsidRPr="00170937" w14:paraId="3FD6454D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5EC60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sedes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4A199C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Cuantitativa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discreta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53D88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Identificar alcance o capacidad de adaptación</w:t>
            </w:r>
          </w:p>
        </w:tc>
      </w:tr>
      <w:tr w:rsidR="00602FBC" w:rsidRPr="00170937" w14:paraId="5E960BBC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D6BF9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Fábrica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/taller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sitio</w:t>
            </w:r>
          </w:p>
        </w:tc>
        <w:tc>
          <w:tcPr>
            <w:tcW w:w="0" w:type="auto"/>
            <w:vAlign w:val="center"/>
            <w:hideMark/>
          </w:tcPr>
          <w:p w14:paraId="5B93F07E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binaria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E0516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Analizar si la producción in situ influye en adaptación</w:t>
            </w:r>
          </w:p>
        </w:tc>
      </w:tr>
      <w:tr w:rsidR="00602FBC" w:rsidRPr="00170937" w14:paraId="257D3D8B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D16F8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Precios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productos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7029B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Cuantitativa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continua</w:t>
            </w:r>
          </w:p>
        </w:tc>
        <w:tc>
          <w:tcPr>
            <w:tcW w:w="0" w:type="auto"/>
            <w:vAlign w:val="center"/>
            <w:hideMark/>
          </w:tcPr>
          <w:p w14:paraId="5DABDE55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Referencia de nivel de mercado (apoyo contextual)</w:t>
            </w:r>
          </w:p>
        </w:tc>
      </w:tr>
      <w:tr w:rsidR="00602FBC" w:rsidRPr="00170937" w14:paraId="1AEA29FA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ECF18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Cambio principal (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preg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0" w:type="auto"/>
            <w:vAlign w:val="center"/>
            <w:hideMark/>
          </w:tcPr>
          <w:p w14:paraId="5D4B9E23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nominal</w:t>
            </w:r>
          </w:p>
        </w:tc>
        <w:tc>
          <w:tcPr>
            <w:tcW w:w="0" w:type="auto"/>
            <w:vAlign w:val="center"/>
            <w:hideMark/>
          </w:tcPr>
          <w:p w14:paraId="38FE9D6D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Variable clave para analizar el tipo de adaptación</w:t>
            </w:r>
          </w:p>
        </w:tc>
      </w:tr>
      <w:tr w:rsidR="00602FBC" w:rsidRPr="00170937" w14:paraId="1CFF13EC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92B52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Empleados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actuales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FB7EB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Cuantitativa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discreta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F5EA8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Variable de tamaño empresarial actual</w:t>
            </w:r>
          </w:p>
        </w:tc>
      </w:tr>
      <w:tr w:rsidR="00602FBC" w:rsidRPr="00602FBC" w14:paraId="4BDD8F58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C03C1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percibido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preg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0" w:type="auto"/>
            <w:vAlign w:val="center"/>
            <w:hideMark/>
          </w:tcPr>
          <w:p w14:paraId="6218AD5F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ordinal</w:t>
            </w:r>
          </w:p>
        </w:tc>
        <w:tc>
          <w:tcPr>
            <w:tcW w:w="0" w:type="auto"/>
            <w:vAlign w:val="center"/>
            <w:hideMark/>
          </w:tcPr>
          <w:p w14:paraId="67C0006F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Variable de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dependiente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02FBC" w:rsidRPr="00602FBC" w14:paraId="5832F173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107D3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Expectativas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futuras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5EFDD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Cualitativa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6FAC53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Apoyo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interpretativo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resultados</w:t>
            </w:r>
            <w:proofErr w:type="spellEnd"/>
          </w:p>
        </w:tc>
      </w:tr>
      <w:tr w:rsidR="00602FBC" w:rsidRPr="00602FBC" w14:paraId="25E5674A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5A803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Promoción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/ Canales /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Reubicación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preg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. 4-6)</w:t>
            </w:r>
          </w:p>
        </w:tc>
        <w:tc>
          <w:tcPr>
            <w:tcW w:w="0" w:type="auto"/>
            <w:vAlign w:val="center"/>
            <w:hideMark/>
          </w:tcPr>
          <w:p w14:paraId="17EB4FC3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nominales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múltiples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FA90F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Variables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independientes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principales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estrategias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02FBC" w:rsidRPr="00602FBC" w14:paraId="51E3A8A5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83641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Variación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ingresos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65A8A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ordinal</w:t>
            </w:r>
          </w:p>
        </w:tc>
        <w:tc>
          <w:tcPr>
            <w:tcW w:w="0" w:type="auto"/>
            <w:vAlign w:val="center"/>
            <w:hideMark/>
          </w:tcPr>
          <w:p w14:paraId="78CC54F1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dependiente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clave</w:t>
            </w:r>
          </w:p>
        </w:tc>
      </w:tr>
      <w:tr w:rsidR="00602FBC" w:rsidRPr="00170937" w14:paraId="26F9BA6B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9AEF7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Efectividad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estrategias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9F838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Categórica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ordinal +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cualitativa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C468EA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Relación con tipo de estrategia implementada</w:t>
            </w:r>
          </w:p>
        </w:tc>
      </w:tr>
      <w:tr w:rsidR="00602FBC" w:rsidRPr="00170937" w14:paraId="26399934" w14:textId="77777777" w:rsidTr="00602F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15371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Retos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estrategia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efectiva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AF535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Cualitativa</w:t>
            </w:r>
            <w:proofErr w:type="spellEnd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2FBC">
              <w:rPr>
                <w:rFonts w:ascii="Times New Roman" w:hAnsi="Times New Roman" w:cs="Times New Roman"/>
                <w:sz w:val="24"/>
                <w:szCs w:val="24"/>
              </w:rPr>
              <w:t>abierta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DE652" w14:textId="77777777" w:rsidR="00602FBC" w:rsidRPr="00602FBC" w:rsidRDefault="00602FBC" w:rsidP="00602F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02FB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Categorización posterior, análisis de contenido</w:t>
            </w:r>
          </w:p>
        </w:tc>
      </w:tr>
    </w:tbl>
    <w:p w14:paraId="0AB72953" w14:textId="4AB21E94" w:rsidR="00602FBC" w:rsidRPr="00170937" w:rsidRDefault="00602FBC" w:rsidP="00602F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FB908EE" w14:textId="77777777" w:rsidR="00602FBC" w:rsidRPr="00602FBC" w:rsidRDefault="00602FBC" w:rsidP="00602FB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s-CO"/>
        </w:rPr>
      </w:pPr>
      <w:proofErr w:type="spellStart"/>
      <w:r w:rsidRPr="00602FB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s-CO"/>
        </w:rPr>
        <w:t>iv</w:t>
      </w:r>
      <w:proofErr w:type="spellEnd"/>
      <w:r w:rsidRPr="00602FB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s-CO"/>
        </w:rPr>
        <w:t xml:space="preserve">. </w:t>
      </w:r>
      <w:r w:rsidRPr="00602FBC">
        <w:rPr>
          <w:rStyle w:val="Textoennegrita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s-CO"/>
        </w:rPr>
        <w:t>¿Qué análisis estadístico se va a realizar?</w:t>
      </w:r>
    </w:p>
    <w:p w14:paraId="689859A4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Análisis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descriptivo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:</w:t>
      </w:r>
    </w:p>
    <w:p w14:paraId="37B3D7D9" w14:textId="77777777" w:rsidR="00602FBC" w:rsidRPr="00602FBC" w:rsidRDefault="00602FBC" w:rsidP="00602FB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Frecuencias absolutas y relativas de todas las variables categóricas.</w:t>
      </w:r>
    </w:p>
    <w:p w14:paraId="096C6F8F" w14:textId="77777777" w:rsidR="00602FBC" w:rsidRPr="00602FBC" w:rsidRDefault="00602FBC" w:rsidP="00602FB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Medidas de tendencia central para variables cuantitativas (empleados, antigüedad).</w:t>
      </w:r>
    </w:p>
    <w:p w14:paraId="20007E9E" w14:textId="77777777" w:rsidR="00602FBC" w:rsidRPr="00602FBC" w:rsidRDefault="00602FBC" w:rsidP="00602FB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Tablas cruzadas de estrategias implementadas vs. percepción de impacto o variación de ingresos.</w:t>
      </w:r>
    </w:p>
    <w:p w14:paraId="4E0639AE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Análisis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gráfico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:</w:t>
      </w:r>
    </w:p>
    <w:p w14:paraId="5FDFB096" w14:textId="77777777" w:rsidR="00602FBC" w:rsidRPr="00602FBC" w:rsidRDefault="00602FBC" w:rsidP="00602FB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Gráficos de barras para tipo de estrategia utilizada.</w:t>
      </w:r>
    </w:p>
    <w:p w14:paraId="2386454F" w14:textId="77777777" w:rsidR="00602FBC" w:rsidRPr="00602FBC" w:rsidRDefault="00602FBC" w:rsidP="00602FB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Histogramas para variación de ingresos y antigüedad.</w:t>
      </w:r>
    </w:p>
    <w:p w14:paraId="711DA0DE" w14:textId="77777777" w:rsidR="00602FBC" w:rsidRPr="00602FBC" w:rsidRDefault="00602FBC" w:rsidP="00602FB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Diagramas de caja (</w:t>
      </w:r>
      <w:proofErr w:type="spellStart"/>
      <w:r w:rsidRPr="00602FBC">
        <w:rPr>
          <w:rFonts w:ascii="Times New Roman" w:hAnsi="Times New Roman" w:cs="Times New Roman"/>
          <w:sz w:val="24"/>
          <w:szCs w:val="24"/>
          <w:lang w:val="es-CO"/>
        </w:rPr>
        <w:t>boxplots</w:t>
      </w:r>
      <w:proofErr w:type="spellEnd"/>
      <w:r w:rsidRPr="00602FBC">
        <w:rPr>
          <w:rFonts w:ascii="Times New Roman" w:hAnsi="Times New Roman" w:cs="Times New Roman"/>
          <w:sz w:val="24"/>
          <w:szCs w:val="24"/>
          <w:lang w:val="es-CO"/>
        </w:rPr>
        <w:t>) para comparar tamaño del local vs. impacto percibido.</w:t>
      </w:r>
    </w:p>
    <w:p w14:paraId="57977A1E" w14:textId="2FB0DE75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Textoennegrita"/>
          <w:rFonts w:ascii="Times New Roman" w:hAnsi="Times New Roman" w:cs="Times New Roman"/>
          <w:sz w:val="24"/>
          <w:szCs w:val="24"/>
        </w:rPr>
        <w:t>3</w:t>
      </w:r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Análisis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cualitativo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preguntas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abiertas</w:t>
      </w:r>
      <w:proofErr w:type="spellEnd"/>
      <w:r w:rsidRPr="00602FBC">
        <w:rPr>
          <w:rStyle w:val="Textoennegrita"/>
          <w:rFonts w:ascii="Times New Roman" w:hAnsi="Times New Roman" w:cs="Times New Roman"/>
          <w:sz w:val="24"/>
          <w:szCs w:val="24"/>
        </w:rPr>
        <w:t>):</w:t>
      </w:r>
    </w:p>
    <w:p w14:paraId="6934A710" w14:textId="77777777" w:rsidR="00602FBC" w:rsidRPr="00602FBC" w:rsidRDefault="00602FBC" w:rsidP="00602FB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Codificación temática de respuestas abiertas.</w:t>
      </w:r>
    </w:p>
    <w:p w14:paraId="23FA0CAC" w14:textId="2F530E1D" w:rsidR="00602FBC" w:rsidRDefault="00602FBC" w:rsidP="00602FB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602FBC">
        <w:rPr>
          <w:rFonts w:ascii="Times New Roman" w:hAnsi="Times New Roman" w:cs="Times New Roman"/>
          <w:sz w:val="24"/>
          <w:szCs w:val="24"/>
          <w:lang w:val="es-CO"/>
        </w:rPr>
        <w:t>Análisis de contenido para identificar patrones frecuentes: motivos de cambio, retos comunes, estrategias más citadas.</w:t>
      </w:r>
    </w:p>
    <w:p w14:paraId="70D3FBC3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4. Resultados esperados</w:t>
      </w:r>
    </w:p>
    <w:p w14:paraId="0F6E66B2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Se espera que este plan permita:</w:t>
      </w:r>
    </w:p>
    <w:p w14:paraId="19668213" w14:textId="77777777" w:rsidR="00602FBC" w:rsidRPr="00602FBC" w:rsidRDefault="00602FBC" w:rsidP="00602FB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lastRenderedPageBreak/>
        <w:t xml:space="preserve">Identificar las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principales estrategias de adaptación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empleadas por los comerciantes del sector </w:t>
      </w:r>
      <w:proofErr w:type="spellStart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mueblero</w:t>
      </w:r>
      <w:proofErr w:type="spellEnd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frente a la disminución de ingresos durante la obra.</w:t>
      </w:r>
    </w:p>
    <w:p w14:paraId="0C98CA5A" w14:textId="77777777" w:rsidR="00602FBC" w:rsidRPr="00602FBC" w:rsidRDefault="00602FBC" w:rsidP="00602FB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Determinar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cuáles de estas estrategias se perciben como más efectivas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, según el tipo y características del negocio.</w:t>
      </w:r>
    </w:p>
    <w:p w14:paraId="5C97A20E" w14:textId="77777777" w:rsidR="00602FBC" w:rsidRPr="00602FBC" w:rsidRDefault="00602FBC" w:rsidP="00602FB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Visibilizar los </w:t>
      </w:r>
      <w:r w:rsidRPr="00602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retos comunes</w:t>
      </w: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enfrentados por los comerciantes y sus </w:t>
      </w:r>
      <w:proofErr w:type="gramStart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expectativas futuras</w:t>
      </w:r>
      <w:proofErr w:type="gramEnd"/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respecto al impacto del proyecto del Metro.</w:t>
      </w:r>
    </w:p>
    <w:p w14:paraId="4030D83D" w14:textId="77777777" w:rsidR="00602FBC" w:rsidRPr="00602FBC" w:rsidRDefault="00602FBC" w:rsidP="00602FB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602FBC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Este análisis aportará evidencia relevante para la comprensión de los efectos económicos de las obras públicas sobre el comercio local y de las formas de resiliencia empresarial en contextos urbanos en transformación.</w:t>
      </w:r>
    </w:p>
    <w:p w14:paraId="20513FAF" w14:textId="77777777" w:rsidR="00602FBC" w:rsidRPr="00602FBC" w:rsidRDefault="00602FBC" w:rsidP="00602FB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s-CO"/>
        </w:rPr>
      </w:pPr>
    </w:p>
    <w:p w14:paraId="6B769214" w14:textId="77777777" w:rsidR="009E13E7" w:rsidRPr="00602FBC" w:rsidRDefault="009E13E7">
      <w:pPr>
        <w:rPr>
          <w:lang w:val="es-CO"/>
        </w:rPr>
      </w:pPr>
    </w:p>
    <w:sectPr w:rsidR="009E13E7" w:rsidRPr="00602F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707A"/>
    <w:multiLevelType w:val="multilevel"/>
    <w:tmpl w:val="9E90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A71EC"/>
    <w:multiLevelType w:val="multilevel"/>
    <w:tmpl w:val="7956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31329"/>
    <w:multiLevelType w:val="multilevel"/>
    <w:tmpl w:val="8ED6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B7287"/>
    <w:multiLevelType w:val="multilevel"/>
    <w:tmpl w:val="C834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943B2"/>
    <w:multiLevelType w:val="multilevel"/>
    <w:tmpl w:val="9F6E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F4A44"/>
    <w:multiLevelType w:val="multilevel"/>
    <w:tmpl w:val="D312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E1931"/>
    <w:multiLevelType w:val="multilevel"/>
    <w:tmpl w:val="60D0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5730B"/>
    <w:multiLevelType w:val="multilevel"/>
    <w:tmpl w:val="6DA0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B0AA6"/>
    <w:multiLevelType w:val="multilevel"/>
    <w:tmpl w:val="63E2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BC"/>
    <w:rsid w:val="00130065"/>
    <w:rsid w:val="00170937"/>
    <w:rsid w:val="00602FBC"/>
    <w:rsid w:val="00691D16"/>
    <w:rsid w:val="009E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6471C"/>
  <w15:chartTrackingRefBased/>
  <w15:docId w15:val="{A8221D50-1DF8-4D7E-9E4A-6FB70CA4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602F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602F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s-CO" w:eastAsia="es-C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602F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CO" w:eastAsia="es-CO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2F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FB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02FBC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02FBC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02FBC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2FB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820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LOPEZ MORALES</dc:creator>
  <cp:keywords/>
  <dc:description/>
  <cp:lastModifiedBy>SOFIA LOPEZ MORALES</cp:lastModifiedBy>
  <cp:revision>3</cp:revision>
  <dcterms:created xsi:type="dcterms:W3CDTF">2025-05-05T17:59:00Z</dcterms:created>
  <dcterms:modified xsi:type="dcterms:W3CDTF">2025-05-05T21:01:00Z</dcterms:modified>
</cp:coreProperties>
</file>