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703F8" w14:textId="77777777" w:rsidR="00AA38E4" w:rsidRDefault="00AA38E4"/>
    <w:p w14:paraId="01A00EA6" w14:textId="77777777" w:rsidR="00AA38E4" w:rsidRDefault="00F77753">
      <w:pPr>
        <w:pStyle w:val="Ttulo1"/>
      </w:pPr>
      <w:r>
        <w:t>P10.1 Summarizing the data</w:t>
      </w:r>
    </w:p>
    <w:p w14:paraId="745EA9B4"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P10.1.1 The ‘Definitions and Sources’ tab in your spreadsheet contains a description of all indicators in the Database. Use the information provided in the ‘Short Description’ column to </w:t>
      </w:r>
      <w:r>
        <w:rPr>
          <w:rFonts w:ascii="Times New Roman" w:eastAsia="Times New Roman" w:hAnsi="Times New Roman" w:cs="Times New Roman"/>
          <w:b/>
        </w:rPr>
        <w:t>explain briefly why each of the indicators listed in Figure 10.1 may b</w:t>
      </w:r>
      <w:r>
        <w:rPr>
          <w:rFonts w:ascii="Times New Roman" w:eastAsia="Times New Roman" w:hAnsi="Times New Roman" w:cs="Times New Roman"/>
          <w:b/>
        </w:rPr>
        <w:t xml:space="preserve">e a good measure of that </w:t>
      </w:r>
      <w:proofErr w:type="gramStart"/>
      <w:r>
        <w:rPr>
          <w:rFonts w:ascii="Times New Roman" w:eastAsia="Times New Roman" w:hAnsi="Times New Roman" w:cs="Times New Roman"/>
        </w:rPr>
        <w:t>category, or</w:t>
      </w:r>
      <w:proofErr w:type="gramEnd"/>
      <w:r>
        <w:rPr>
          <w:rFonts w:ascii="Times New Roman" w:eastAsia="Times New Roman" w:hAnsi="Times New Roman" w:cs="Times New Roman"/>
        </w:rPr>
        <w:t xml:space="preserve"> may give misleading information about that category. (You may find it helpful to conduct some research on these measures, especially if the explanation contains technical terms).</w:t>
      </w:r>
    </w:p>
    <w:p w14:paraId="6EA14F75" w14:textId="77777777" w:rsidR="00AA38E4" w:rsidRDefault="00AA38E4">
      <w:pPr>
        <w:spacing w:line="276" w:lineRule="auto"/>
        <w:jc w:val="both"/>
        <w:rPr>
          <w:rFonts w:ascii="Times New Roman" w:eastAsia="Times New Roman" w:hAnsi="Times New Roman" w:cs="Times New Roman"/>
        </w:rPr>
      </w:pPr>
    </w:p>
    <w:sdt>
      <w:sdtPr>
        <w:tag w:val="goog_rdk_0"/>
        <w:id w:val="1379044060"/>
        <w:lock w:val="contentLocked"/>
      </w:sdtPr>
      <w:sdtEndPr/>
      <w:sdtContent>
        <w:tbl>
          <w:tblPr>
            <w:tblStyle w:val="a"/>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9"/>
            <w:gridCol w:w="2209"/>
            <w:gridCol w:w="2210"/>
            <w:gridCol w:w="2210"/>
          </w:tblGrid>
          <w:tr w:rsidR="00AA38E4" w14:paraId="13861306" w14:textId="77777777">
            <w:tc>
              <w:tcPr>
                <w:tcW w:w="2209" w:type="dxa"/>
                <w:shd w:val="clear" w:color="auto" w:fill="auto"/>
                <w:tcMar>
                  <w:top w:w="100" w:type="dxa"/>
                  <w:left w:w="100" w:type="dxa"/>
                  <w:bottom w:w="100" w:type="dxa"/>
                  <w:right w:w="100" w:type="dxa"/>
                </w:tcMar>
              </w:tcPr>
              <w:p w14:paraId="3D7224A1"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Indicador</w:t>
                </w:r>
              </w:p>
            </w:tc>
            <w:tc>
              <w:tcPr>
                <w:tcW w:w="2209" w:type="dxa"/>
                <w:shd w:val="clear" w:color="auto" w:fill="auto"/>
                <w:tcMar>
                  <w:top w:w="100" w:type="dxa"/>
                  <w:left w:w="100" w:type="dxa"/>
                  <w:bottom w:w="100" w:type="dxa"/>
                  <w:right w:w="100" w:type="dxa"/>
                </w:tcMar>
              </w:tcPr>
              <w:p w14:paraId="5EF40855"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Categoría</w:t>
                </w:r>
              </w:p>
            </w:tc>
            <w:tc>
              <w:tcPr>
                <w:tcW w:w="2209" w:type="dxa"/>
                <w:shd w:val="clear" w:color="auto" w:fill="auto"/>
                <w:tcMar>
                  <w:top w:w="100" w:type="dxa"/>
                  <w:left w:w="100" w:type="dxa"/>
                  <w:bottom w:w="100" w:type="dxa"/>
                  <w:right w:w="100" w:type="dxa"/>
                </w:tcMar>
              </w:tcPr>
              <w:p w14:paraId="52F08888"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Ventajas</w:t>
                </w:r>
              </w:p>
            </w:tc>
            <w:tc>
              <w:tcPr>
                <w:tcW w:w="2209" w:type="dxa"/>
                <w:shd w:val="clear" w:color="auto" w:fill="auto"/>
                <w:tcMar>
                  <w:top w:w="100" w:type="dxa"/>
                  <w:left w:w="100" w:type="dxa"/>
                  <w:bottom w:w="100" w:type="dxa"/>
                  <w:right w:w="100" w:type="dxa"/>
                </w:tcMar>
              </w:tcPr>
              <w:p w14:paraId="70B2B992"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Desventaj</w:t>
                </w:r>
                <w:r>
                  <w:rPr>
                    <w:rFonts w:ascii="Times New Roman" w:eastAsia="Times New Roman" w:hAnsi="Times New Roman" w:cs="Times New Roman"/>
                  </w:rPr>
                  <w:t>as</w:t>
                </w:r>
              </w:p>
            </w:tc>
          </w:tr>
          <w:tr w:rsidR="00AA38E4" w14:paraId="49776700" w14:textId="77777777">
            <w:tc>
              <w:tcPr>
                <w:tcW w:w="2209" w:type="dxa"/>
                <w:shd w:val="clear" w:color="auto" w:fill="auto"/>
                <w:tcMar>
                  <w:top w:w="100" w:type="dxa"/>
                  <w:left w:w="100" w:type="dxa"/>
                  <w:bottom w:w="100" w:type="dxa"/>
                  <w:right w:w="100" w:type="dxa"/>
                </w:tcMar>
              </w:tcPr>
              <w:p w14:paraId="19947FC2"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222222"/>
                    <w:highlight w:val="white"/>
                  </w:rPr>
                  <w:t>Private credit by deposit money banks to GDP (%)</w:t>
                </w:r>
              </w:p>
            </w:tc>
            <w:tc>
              <w:tcPr>
                <w:tcW w:w="2209" w:type="dxa"/>
                <w:shd w:val="clear" w:color="auto" w:fill="auto"/>
                <w:tcMar>
                  <w:top w:w="100" w:type="dxa"/>
                  <w:left w:w="100" w:type="dxa"/>
                  <w:bottom w:w="100" w:type="dxa"/>
                  <w:right w:w="100" w:type="dxa"/>
                </w:tcMar>
              </w:tcPr>
              <w:p w14:paraId="70F60041"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Profundidad</w:t>
                </w:r>
              </w:p>
            </w:tc>
            <w:tc>
              <w:tcPr>
                <w:tcW w:w="2209" w:type="dxa"/>
                <w:shd w:val="clear" w:color="auto" w:fill="auto"/>
                <w:tcMar>
                  <w:top w:w="100" w:type="dxa"/>
                  <w:left w:w="100" w:type="dxa"/>
                  <w:bottom w:w="100" w:type="dxa"/>
                  <w:right w:w="100" w:type="dxa"/>
                </w:tcMar>
              </w:tcPr>
              <w:p w14:paraId="2874A218"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Indica el nivel de financiamiento disponible en la economía.</w:t>
                </w:r>
                <w:r>
                  <w:rPr>
                    <w:rFonts w:ascii="Times New Roman" w:eastAsia="Times New Roman" w:hAnsi="Times New Roman" w:cs="Times New Roman"/>
                  </w:rPr>
                  <w:br/>
                </w:r>
              </w:p>
              <w:p w14:paraId="1D7B3C87"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Una mayor proporción suele estar asociada con más inversión y crecimiento económico.</w:t>
                </w:r>
              </w:p>
              <w:p w14:paraId="1BCDB74D"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3DFDB78D"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Un nivel excesivo de crédito privado </w:t>
                </w:r>
                <w:r>
                  <w:rPr>
                    <w:rFonts w:ascii="Times New Roman" w:eastAsia="Times New Roman" w:hAnsi="Times New Roman" w:cs="Times New Roman"/>
                  </w:rPr>
                  <w:t>puede aumentar el riesgo de sobreendeudamiento y crisis financieras.</w:t>
                </w:r>
              </w:p>
            </w:tc>
          </w:tr>
          <w:tr w:rsidR="00AA38E4" w14:paraId="66DD072C" w14:textId="77777777">
            <w:tc>
              <w:tcPr>
                <w:tcW w:w="2209" w:type="dxa"/>
                <w:shd w:val="clear" w:color="auto" w:fill="auto"/>
                <w:tcMar>
                  <w:top w:w="100" w:type="dxa"/>
                  <w:left w:w="100" w:type="dxa"/>
                  <w:bottom w:w="100" w:type="dxa"/>
                  <w:right w:w="100" w:type="dxa"/>
                </w:tcMar>
              </w:tcPr>
              <w:p w14:paraId="04B74F7C"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Deposit </w:t>
                </w:r>
                <w:r>
                  <w:rPr>
                    <w:rFonts w:ascii="Times New Roman" w:eastAsia="Times New Roman" w:hAnsi="Times New Roman" w:cs="Times New Roman"/>
                    <w:color w:val="222222"/>
                    <w:highlight w:val="white"/>
                  </w:rPr>
                  <w:t>money banks’ assets to GDP (%)</w:t>
                </w:r>
              </w:p>
            </w:tc>
            <w:tc>
              <w:tcPr>
                <w:tcW w:w="2209" w:type="dxa"/>
                <w:shd w:val="clear" w:color="auto" w:fill="auto"/>
                <w:tcMar>
                  <w:top w:w="100" w:type="dxa"/>
                  <w:left w:w="100" w:type="dxa"/>
                  <w:bottom w:w="100" w:type="dxa"/>
                  <w:right w:w="100" w:type="dxa"/>
                </w:tcMar>
              </w:tcPr>
              <w:p w14:paraId="0770EB6B"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Profundidad</w:t>
                </w:r>
              </w:p>
            </w:tc>
            <w:tc>
              <w:tcPr>
                <w:tcW w:w="2209" w:type="dxa"/>
                <w:shd w:val="clear" w:color="auto" w:fill="auto"/>
                <w:tcMar>
                  <w:top w:w="100" w:type="dxa"/>
                  <w:left w:w="100" w:type="dxa"/>
                  <w:bottom w:w="100" w:type="dxa"/>
                  <w:right w:w="100" w:type="dxa"/>
                </w:tcMar>
              </w:tcPr>
              <w:p w14:paraId="12041129"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Muestra el tamaño del sector bancario en relación con la economía.</w:t>
                </w:r>
                <w:r>
                  <w:rPr>
                    <w:rFonts w:ascii="Times New Roman" w:eastAsia="Times New Roman" w:hAnsi="Times New Roman" w:cs="Times New Roman"/>
                  </w:rPr>
                  <w:br/>
                </w:r>
              </w:p>
              <w:p w14:paraId="41130898"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Un mayor valor indica una mayor capacidad de </w:t>
                </w:r>
                <w:r>
                  <w:rPr>
                    <w:rFonts w:ascii="Times New Roman" w:eastAsia="Times New Roman" w:hAnsi="Times New Roman" w:cs="Times New Roman"/>
                  </w:rPr>
                  <w:t>intermediación financiera.</w:t>
                </w:r>
              </w:p>
              <w:p w14:paraId="123D79A0"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5B6FB0C3"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Un sector bancario demasiado grande puede concentrar riesgos sistémicos.</w:t>
                </w:r>
              </w:p>
            </w:tc>
          </w:tr>
          <w:tr w:rsidR="00AA38E4" w14:paraId="09029B81" w14:textId="77777777">
            <w:tc>
              <w:tcPr>
                <w:tcW w:w="2209" w:type="dxa"/>
                <w:shd w:val="clear" w:color="auto" w:fill="auto"/>
                <w:tcMar>
                  <w:top w:w="100" w:type="dxa"/>
                  <w:left w:w="100" w:type="dxa"/>
                  <w:bottom w:w="100" w:type="dxa"/>
                  <w:right w:w="100" w:type="dxa"/>
                </w:tcMar>
              </w:tcPr>
              <w:p w14:paraId="4869171F"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Bank accounts per 1,000 adults</w:t>
                </w:r>
              </w:p>
            </w:tc>
            <w:tc>
              <w:tcPr>
                <w:tcW w:w="2209" w:type="dxa"/>
                <w:shd w:val="clear" w:color="auto" w:fill="auto"/>
                <w:tcMar>
                  <w:top w:w="100" w:type="dxa"/>
                  <w:left w:w="100" w:type="dxa"/>
                  <w:bottom w:w="100" w:type="dxa"/>
                  <w:right w:w="100" w:type="dxa"/>
                </w:tcMar>
              </w:tcPr>
              <w:p w14:paraId="02A8EEEF"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Acceso</w:t>
                </w:r>
              </w:p>
            </w:tc>
            <w:tc>
              <w:tcPr>
                <w:tcW w:w="2209" w:type="dxa"/>
                <w:shd w:val="clear" w:color="auto" w:fill="auto"/>
                <w:tcMar>
                  <w:top w:w="100" w:type="dxa"/>
                  <w:left w:w="100" w:type="dxa"/>
                  <w:bottom w:w="100" w:type="dxa"/>
                  <w:right w:w="100" w:type="dxa"/>
                </w:tcMar>
              </w:tcPr>
              <w:p w14:paraId="25E3052B"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Indica el grado de inclusión financiera.</w:t>
                </w:r>
                <w:r>
                  <w:rPr>
                    <w:rFonts w:ascii="Times New Roman" w:eastAsia="Times New Roman" w:hAnsi="Times New Roman" w:cs="Times New Roman"/>
                  </w:rPr>
                  <w:br/>
                </w:r>
              </w:p>
              <w:p w14:paraId="1149FAE6"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Facilita el acceso al ahorro y crédito formal.</w:t>
                </w:r>
              </w:p>
              <w:p w14:paraId="5E2AFD7A"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324B2CCE"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No mide la calidad ni el </w:t>
                </w:r>
                <w:r>
                  <w:rPr>
                    <w:rFonts w:ascii="Times New Roman" w:eastAsia="Times New Roman" w:hAnsi="Times New Roman" w:cs="Times New Roman"/>
                  </w:rPr>
                  <w:t>uso efectivo de las cuentas bancarias (pueden existir muchas cuentas inactivas).</w:t>
                </w:r>
              </w:p>
            </w:tc>
          </w:tr>
          <w:tr w:rsidR="00AA38E4" w14:paraId="27DDC1CB" w14:textId="77777777">
            <w:tc>
              <w:tcPr>
                <w:tcW w:w="2209" w:type="dxa"/>
                <w:shd w:val="clear" w:color="auto" w:fill="auto"/>
                <w:tcMar>
                  <w:top w:w="100" w:type="dxa"/>
                  <w:left w:w="100" w:type="dxa"/>
                  <w:bottom w:w="100" w:type="dxa"/>
                  <w:right w:w="100" w:type="dxa"/>
                </w:tcMar>
              </w:tcPr>
              <w:p w14:paraId="44144DF9"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Bank branches per 100</w:t>
                </w:r>
              </w:p>
            </w:tc>
            <w:tc>
              <w:tcPr>
                <w:tcW w:w="2209" w:type="dxa"/>
                <w:shd w:val="clear" w:color="auto" w:fill="auto"/>
                <w:tcMar>
                  <w:top w:w="100" w:type="dxa"/>
                  <w:left w:w="100" w:type="dxa"/>
                  <w:bottom w:w="100" w:type="dxa"/>
                  <w:right w:w="100" w:type="dxa"/>
                </w:tcMar>
              </w:tcPr>
              <w:p w14:paraId="5A002671"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Acceso</w:t>
                </w:r>
              </w:p>
            </w:tc>
            <w:tc>
              <w:tcPr>
                <w:tcW w:w="2209" w:type="dxa"/>
                <w:shd w:val="clear" w:color="auto" w:fill="auto"/>
                <w:tcMar>
                  <w:top w:w="100" w:type="dxa"/>
                  <w:left w:w="100" w:type="dxa"/>
                  <w:bottom w:w="100" w:type="dxa"/>
                  <w:right w:w="100" w:type="dxa"/>
                </w:tcMar>
              </w:tcPr>
              <w:p w14:paraId="52CFA6D9"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Indica la cobertura </w:t>
                </w:r>
                <w:r>
                  <w:rPr>
                    <w:rFonts w:ascii="Times New Roman" w:eastAsia="Times New Roman" w:hAnsi="Times New Roman" w:cs="Times New Roman"/>
                  </w:rPr>
                  <w:lastRenderedPageBreak/>
                  <w:t>geográfica de los servicios bancarios.</w:t>
                </w:r>
                <w:r>
                  <w:rPr>
                    <w:rFonts w:ascii="Times New Roman" w:eastAsia="Times New Roman" w:hAnsi="Times New Roman" w:cs="Times New Roman"/>
                  </w:rPr>
                  <w:br/>
                </w:r>
              </w:p>
              <w:p w14:paraId="0340BEF5"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Un mayor número de sucursales facilita el acceso en zonas rurales o con menor infraes</w:t>
                </w:r>
                <w:r>
                  <w:rPr>
                    <w:rFonts w:ascii="Times New Roman" w:eastAsia="Times New Roman" w:hAnsi="Times New Roman" w:cs="Times New Roman"/>
                  </w:rPr>
                  <w:t>tructura digital.</w:t>
                </w:r>
              </w:p>
              <w:p w14:paraId="65EA7499"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6E88093E"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No refleja </w:t>
                </w:r>
                <w:r>
                  <w:rPr>
                    <w:rFonts w:ascii="Times New Roman" w:eastAsia="Times New Roman" w:hAnsi="Times New Roman" w:cs="Times New Roman"/>
                  </w:rPr>
                  <w:lastRenderedPageBreak/>
                  <w:t>necesariamente la accesibilidad real si hay costos altos de servicios financieros.</w:t>
                </w:r>
                <w:r>
                  <w:rPr>
                    <w:rFonts w:ascii="Times New Roman" w:eastAsia="Times New Roman" w:hAnsi="Times New Roman" w:cs="Times New Roman"/>
                  </w:rPr>
                  <w:br/>
                </w:r>
              </w:p>
              <w:p w14:paraId="73D7836F"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Con la digitalización, el número de sucursales físicas puede no ser el mejor indicador de inclusión.</w:t>
                </w:r>
              </w:p>
              <w:p w14:paraId="2DDA3987"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r>
          <w:tr w:rsidR="00AA38E4" w14:paraId="01705626" w14:textId="77777777">
            <w:tc>
              <w:tcPr>
                <w:tcW w:w="2209" w:type="dxa"/>
                <w:shd w:val="clear" w:color="auto" w:fill="auto"/>
                <w:tcMar>
                  <w:top w:w="100" w:type="dxa"/>
                  <w:left w:w="100" w:type="dxa"/>
                  <w:bottom w:w="100" w:type="dxa"/>
                  <w:right w:w="100" w:type="dxa"/>
                </w:tcMar>
              </w:tcPr>
              <w:p w14:paraId="016042BF"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Firms with a bank loan or line of </w:t>
                </w:r>
                <w:r>
                  <w:rPr>
                    <w:rFonts w:ascii="Times New Roman" w:eastAsia="Times New Roman" w:hAnsi="Times New Roman" w:cs="Times New Roman"/>
                  </w:rPr>
                  <w:t>credit (%)</w:t>
                </w:r>
              </w:p>
            </w:tc>
            <w:tc>
              <w:tcPr>
                <w:tcW w:w="2209" w:type="dxa"/>
                <w:shd w:val="clear" w:color="auto" w:fill="auto"/>
                <w:tcMar>
                  <w:top w:w="100" w:type="dxa"/>
                  <w:left w:w="100" w:type="dxa"/>
                  <w:bottom w:w="100" w:type="dxa"/>
                  <w:right w:w="100" w:type="dxa"/>
                </w:tcMar>
              </w:tcPr>
              <w:p w14:paraId="64ED3D20"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Acceso</w:t>
                </w:r>
              </w:p>
            </w:tc>
            <w:tc>
              <w:tcPr>
                <w:tcW w:w="2209" w:type="dxa"/>
                <w:shd w:val="clear" w:color="auto" w:fill="auto"/>
                <w:tcMar>
                  <w:top w:w="100" w:type="dxa"/>
                  <w:left w:w="100" w:type="dxa"/>
                  <w:bottom w:w="100" w:type="dxa"/>
                  <w:right w:w="100" w:type="dxa"/>
                </w:tcMar>
              </w:tcPr>
              <w:p w14:paraId="7C4EE71D"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Refleja la capacidad de las empresas para acceder a financiamiento.</w:t>
                </w:r>
                <w:r>
                  <w:rPr>
                    <w:rFonts w:ascii="Times New Roman" w:eastAsia="Times New Roman" w:hAnsi="Times New Roman" w:cs="Times New Roman"/>
                  </w:rPr>
                  <w:br/>
                </w:r>
              </w:p>
              <w:p w14:paraId="7A053DD1"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Puede estar relacionado con mayor inversión y productividad.</w:t>
                </w:r>
              </w:p>
              <w:p w14:paraId="3621658D"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3A4197FB"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No distingue entre condiciones de crédito favorables o desfavorables (tasas de interés altas, garantías exi</w:t>
                </w:r>
                <w:r>
                  <w:rPr>
                    <w:rFonts w:ascii="Times New Roman" w:eastAsia="Times New Roman" w:hAnsi="Times New Roman" w:cs="Times New Roman"/>
                  </w:rPr>
                  <w:t>gidas, etc.).</w:t>
                </w:r>
              </w:p>
            </w:tc>
          </w:tr>
          <w:tr w:rsidR="00AA38E4" w14:paraId="619F2259" w14:textId="77777777">
            <w:tc>
              <w:tcPr>
                <w:tcW w:w="2209" w:type="dxa"/>
                <w:shd w:val="clear" w:color="auto" w:fill="auto"/>
                <w:tcMar>
                  <w:top w:w="100" w:type="dxa"/>
                  <w:left w:w="100" w:type="dxa"/>
                  <w:bottom w:w="100" w:type="dxa"/>
                  <w:right w:w="100" w:type="dxa"/>
                </w:tcMar>
              </w:tcPr>
              <w:p w14:paraId="4DA59ABD"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Small firms with a bank loan or line of credit (%)</w:t>
                </w:r>
              </w:p>
            </w:tc>
            <w:tc>
              <w:tcPr>
                <w:tcW w:w="2209" w:type="dxa"/>
                <w:shd w:val="clear" w:color="auto" w:fill="auto"/>
                <w:tcMar>
                  <w:top w:w="100" w:type="dxa"/>
                  <w:left w:w="100" w:type="dxa"/>
                  <w:bottom w:w="100" w:type="dxa"/>
                  <w:right w:w="100" w:type="dxa"/>
                </w:tcMar>
              </w:tcPr>
              <w:p w14:paraId="652E2192"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Acceso</w:t>
                </w:r>
              </w:p>
            </w:tc>
            <w:tc>
              <w:tcPr>
                <w:tcW w:w="2209" w:type="dxa"/>
                <w:shd w:val="clear" w:color="auto" w:fill="auto"/>
                <w:tcMar>
                  <w:top w:w="100" w:type="dxa"/>
                  <w:left w:w="100" w:type="dxa"/>
                  <w:bottom w:w="100" w:type="dxa"/>
                  <w:right w:w="100" w:type="dxa"/>
                </w:tcMar>
              </w:tcPr>
              <w:p w14:paraId="35CACC56"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Específicamente mide la inclusión financiera de pequeñas empresas, que suelen enfrentar mayores barreras de acceso al crédito.</w:t>
                </w:r>
              </w:p>
            </w:tc>
            <w:tc>
              <w:tcPr>
                <w:tcW w:w="2209" w:type="dxa"/>
                <w:shd w:val="clear" w:color="auto" w:fill="auto"/>
                <w:tcMar>
                  <w:top w:w="100" w:type="dxa"/>
                  <w:left w:w="100" w:type="dxa"/>
                  <w:bottom w:w="100" w:type="dxa"/>
                  <w:right w:w="100" w:type="dxa"/>
                </w:tcMar>
              </w:tcPr>
              <w:p w14:paraId="400DC11B" w14:textId="77777777" w:rsidR="00AA38E4" w:rsidRDefault="00F77753">
                <w:pPr>
                  <w:widowControl w:val="0"/>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No refleja si las pequeñas empresas reciben </w:t>
                </w:r>
                <w:r>
                  <w:rPr>
                    <w:rFonts w:ascii="Times New Roman" w:eastAsia="Times New Roman" w:hAnsi="Times New Roman" w:cs="Times New Roman"/>
                  </w:rPr>
                  <w:t>financiamiento suficiente para sus necesidades.</w:t>
                </w:r>
                <w:r>
                  <w:rPr>
                    <w:rFonts w:ascii="Times New Roman" w:eastAsia="Times New Roman" w:hAnsi="Times New Roman" w:cs="Times New Roman"/>
                  </w:rPr>
                  <w:br/>
                </w:r>
              </w:p>
              <w:p w14:paraId="6AB5F5AF"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r>
          <w:tr w:rsidR="00AA38E4" w14:paraId="74F84FBC" w14:textId="77777777">
            <w:tc>
              <w:tcPr>
                <w:tcW w:w="2209" w:type="dxa"/>
                <w:shd w:val="clear" w:color="auto" w:fill="auto"/>
                <w:tcMar>
                  <w:top w:w="100" w:type="dxa"/>
                  <w:left w:w="100" w:type="dxa"/>
                  <w:bottom w:w="100" w:type="dxa"/>
                  <w:right w:w="100" w:type="dxa"/>
                </w:tcMar>
              </w:tcPr>
              <w:p w14:paraId="30F5A020"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Bank Z-score</w:t>
                </w:r>
              </w:p>
            </w:tc>
            <w:tc>
              <w:tcPr>
                <w:tcW w:w="2209" w:type="dxa"/>
                <w:shd w:val="clear" w:color="auto" w:fill="auto"/>
                <w:tcMar>
                  <w:top w:w="100" w:type="dxa"/>
                  <w:left w:w="100" w:type="dxa"/>
                  <w:bottom w:w="100" w:type="dxa"/>
                  <w:right w:w="100" w:type="dxa"/>
                </w:tcMar>
              </w:tcPr>
              <w:p w14:paraId="5A0CC5C3"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Estabilidad</w:t>
                </w:r>
              </w:p>
            </w:tc>
            <w:tc>
              <w:tcPr>
                <w:tcW w:w="2209" w:type="dxa"/>
                <w:shd w:val="clear" w:color="auto" w:fill="auto"/>
                <w:tcMar>
                  <w:top w:w="100" w:type="dxa"/>
                  <w:left w:w="100" w:type="dxa"/>
                  <w:bottom w:w="100" w:type="dxa"/>
                  <w:right w:w="100" w:type="dxa"/>
                </w:tcMar>
              </w:tcPr>
              <w:p w14:paraId="370BB763"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Es una medida de la estabilidad bancaria: un valor más alto sugiere menor riesgo de quiebra.</w:t>
                </w:r>
              </w:p>
            </w:tc>
            <w:tc>
              <w:tcPr>
                <w:tcW w:w="2209" w:type="dxa"/>
                <w:shd w:val="clear" w:color="auto" w:fill="auto"/>
                <w:tcMar>
                  <w:top w:w="100" w:type="dxa"/>
                  <w:left w:w="100" w:type="dxa"/>
                  <w:bottom w:w="100" w:type="dxa"/>
                  <w:right w:w="100" w:type="dxa"/>
                </w:tcMar>
              </w:tcPr>
              <w:p w14:paraId="578719DE"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Puede no capturar completamente riesgos ocultos en el sistema financiero.</w:t>
                </w:r>
              </w:p>
            </w:tc>
          </w:tr>
          <w:tr w:rsidR="00AA38E4" w14:paraId="67D53D04" w14:textId="77777777">
            <w:tc>
              <w:tcPr>
                <w:tcW w:w="2209" w:type="dxa"/>
                <w:shd w:val="clear" w:color="auto" w:fill="auto"/>
                <w:tcMar>
                  <w:top w:w="100" w:type="dxa"/>
                  <w:left w:w="100" w:type="dxa"/>
                  <w:bottom w:w="100" w:type="dxa"/>
                  <w:right w:w="100" w:type="dxa"/>
                </w:tcMar>
              </w:tcPr>
              <w:p w14:paraId="7517C353"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Bank </w:t>
                </w:r>
                <w:r>
                  <w:rPr>
                    <w:rFonts w:ascii="Times New Roman" w:eastAsia="Times New Roman" w:hAnsi="Times New Roman" w:cs="Times New Roman"/>
                  </w:rPr>
                  <w:t>regulatory capital to risk-weighted assets (%)</w:t>
                </w:r>
              </w:p>
            </w:tc>
            <w:tc>
              <w:tcPr>
                <w:tcW w:w="2209" w:type="dxa"/>
                <w:shd w:val="clear" w:color="auto" w:fill="auto"/>
                <w:tcMar>
                  <w:top w:w="100" w:type="dxa"/>
                  <w:left w:w="100" w:type="dxa"/>
                  <w:bottom w:w="100" w:type="dxa"/>
                  <w:right w:w="100" w:type="dxa"/>
                </w:tcMar>
              </w:tcPr>
              <w:p w14:paraId="2BAD33E0"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Estabilidad </w:t>
                </w:r>
              </w:p>
            </w:tc>
            <w:tc>
              <w:tcPr>
                <w:tcW w:w="2209" w:type="dxa"/>
                <w:shd w:val="clear" w:color="auto" w:fill="auto"/>
                <w:tcMar>
                  <w:top w:w="100" w:type="dxa"/>
                  <w:left w:w="100" w:type="dxa"/>
                  <w:bottom w:w="100" w:type="dxa"/>
                  <w:right w:w="100" w:type="dxa"/>
                </w:tcMar>
              </w:tcPr>
              <w:p w14:paraId="2EABE16E"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Indica la solidez financiera de los bancos en función del capital regulatorio.</w:t>
                </w:r>
                <w:r>
                  <w:rPr>
                    <w:rFonts w:ascii="Times New Roman" w:eastAsia="Times New Roman" w:hAnsi="Times New Roman" w:cs="Times New Roman"/>
                  </w:rPr>
                  <w:br/>
                </w:r>
              </w:p>
              <w:p w14:paraId="12F416A0"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Un mayor valor </w:t>
                </w:r>
                <w:r>
                  <w:rPr>
                    <w:rFonts w:ascii="Times New Roman" w:eastAsia="Times New Roman" w:hAnsi="Times New Roman" w:cs="Times New Roman"/>
                  </w:rPr>
                  <w:lastRenderedPageBreak/>
                  <w:t>sugiere que los bancos tienen un buen colchón ante pérdidas.</w:t>
                </w:r>
              </w:p>
              <w:p w14:paraId="3914AD8D" w14:textId="77777777" w:rsidR="00AA38E4" w:rsidRDefault="00AA38E4">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c>
              <w:tcPr>
                <w:tcW w:w="2209" w:type="dxa"/>
                <w:shd w:val="clear" w:color="auto" w:fill="auto"/>
                <w:tcMar>
                  <w:top w:w="100" w:type="dxa"/>
                  <w:left w:w="100" w:type="dxa"/>
                  <w:bottom w:w="100" w:type="dxa"/>
                  <w:right w:w="100" w:type="dxa"/>
                </w:tcMar>
              </w:tcPr>
              <w:p w14:paraId="6952C141"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No necesariamente mide la eficiencia en</w:t>
                </w:r>
                <w:r>
                  <w:rPr>
                    <w:rFonts w:ascii="Times New Roman" w:eastAsia="Times New Roman" w:hAnsi="Times New Roman" w:cs="Times New Roman"/>
                  </w:rPr>
                  <w:t xml:space="preserve"> la asignación del capital.</w:t>
                </w:r>
                <w:r>
                  <w:rPr>
                    <w:rFonts w:ascii="Times New Roman" w:eastAsia="Times New Roman" w:hAnsi="Times New Roman" w:cs="Times New Roman"/>
                  </w:rPr>
                  <w:br/>
                </w:r>
              </w:p>
              <w:p w14:paraId="26CCBBF2" w14:textId="77777777" w:rsidR="00AA38E4" w:rsidRDefault="00F77753">
                <w:pPr>
                  <w:widowControl w:val="0"/>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Regulaciones demasiado estrictas </w:t>
                </w:r>
                <w:r>
                  <w:rPr>
                    <w:rFonts w:ascii="Times New Roman" w:eastAsia="Times New Roman" w:hAnsi="Times New Roman" w:cs="Times New Roman"/>
                  </w:rPr>
                  <w:lastRenderedPageBreak/>
                  <w:t>pueden limitar el crédito disponible.</w:t>
                </w:r>
              </w:p>
              <w:p w14:paraId="17530AE2" w14:textId="77777777" w:rsidR="00AA38E4" w:rsidRDefault="00F77753">
                <w:pPr>
                  <w:widowControl w:val="0"/>
                  <w:pBdr>
                    <w:top w:val="nil"/>
                    <w:left w:val="nil"/>
                    <w:bottom w:val="nil"/>
                    <w:right w:val="nil"/>
                    <w:between w:val="nil"/>
                  </w:pBdr>
                  <w:spacing w:after="0" w:line="276" w:lineRule="auto"/>
                  <w:jc w:val="both"/>
                  <w:rPr>
                    <w:rFonts w:ascii="Times New Roman" w:eastAsia="Times New Roman" w:hAnsi="Times New Roman" w:cs="Times New Roman"/>
                  </w:rPr>
                </w:pPr>
              </w:p>
            </w:tc>
          </w:tr>
        </w:tbl>
      </w:sdtContent>
    </w:sdt>
    <w:p w14:paraId="7A92B624" w14:textId="77777777" w:rsidR="00AA38E4" w:rsidRDefault="00AA38E4">
      <w:pPr>
        <w:spacing w:line="276" w:lineRule="auto"/>
        <w:jc w:val="both"/>
        <w:rPr>
          <w:rFonts w:ascii="Times New Roman" w:eastAsia="Times New Roman" w:hAnsi="Times New Roman" w:cs="Times New Roman"/>
        </w:rPr>
      </w:pPr>
    </w:p>
    <w:p w14:paraId="69626E4C"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P10.1.2 Make a separate box and whisker plot for each indicator, with the outliers displayed (see Excel walk-through 6.3 for help on how to do this). </w:t>
      </w:r>
      <w:r>
        <w:rPr>
          <w:rFonts w:ascii="Times New Roman" w:eastAsia="Times New Roman" w:hAnsi="Times New Roman" w:cs="Times New Roman"/>
          <w:b/>
        </w:rPr>
        <w:t>Comment on the overall distribution, the number of outliers, and suggest why there may be many outliers</w:t>
      </w:r>
      <w:r>
        <w:rPr>
          <w:rFonts w:ascii="Times New Roman" w:eastAsia="Times New Roman" w:hAnsi="Times New Roman" w:cs="Times New Roman"/>
        </w:rPr>
        <w:t xml:space="preserve">. </w:t>
      </w:r>
    </w:p>
    <w:p w14:paraId="002E571E"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D7B029" wp14:editId="158DDE1A">
            <wp:extent cx="2896553" cy="182792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896553" cy="1827921"/>
                    </a:xfrm>
                    <a:prstGeom prst="rect">
                      <a:avLst/>
                    </a:prstGeom>
                    <a:ln/>
                  </pic:spPr>
                </pic:pic>
              </a:graphicData>
            </a:graphic>
          </wp:inline>
        </w:drawing>
      </w:r>
    </w:p>
    <w:p w14:paraId="0CD0D6E5" w14:textId="77777777" w:rsidR="00AA38E4" w:rsidRPr="00876343" w:rsidRDefault="00F77753">
      <w:pP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El gráfico "Depth </w:t>
      </w:r>
      <w:proofErr w:type="spellStart"/>
      <w:r w:rsidRPr="00876343">
        <w:rPr>
          <w:rFonts w:ascii="Times New Roman" w:eastAsia="Times New Roman" w:hAnsi="Times New Roman" w:cs="Times New Roman"/>
          <w:lang w:val="es-CO"/>
        </w:rPr>
        <w:t>indicators</w:t>
      </w:r>
      <w:proofErr w:type="spellEnd"/>
      <w:r w:rsidRPr="00876343">
        <w:rPr>
          <w:rFonts w:ascii="Times New Roman" w:eastAsia="Times New Roman" w:hAnsi="Times New Roman" w:cs="Times New Roman"/>
          <w:lang w:val="es-CO"/>
        </w:rPr>
        <w:t xml:space="preserve">" compara los indicadores </w:t>
      </w:r>
      <w:proofErr w:type="spellStart"/>
      <w:proofErr w:type="gramStart"/>
      <w:r w:rsidRPr="00876343">
        <w:rPr>
          <w:rFonts w:ascii="Times New Roman" w:eastAsia="Times New Roman" w:hAnsi="Times New Roman" w:cs="Times New Roman"/>
          <w:i/>
          <w:lang w:val="es-CO"/>
        </w:rPr>
        <w:t>private.credit</w:t>
      </w:r>
      <w:proofErr w:type="spellEnd"/>
      <w:proofErr w:type="gramEnd"/>
      <w:r w:rsidRPr="00876343">
        <w:rPr>
          <w:rFonts w:ascii="Times New Roman" w:eastAsia="Times New Roman" w:hAnsi="Times New Roman" w:cs="Times New Roman"/>
          <w:lang w:val="es-CO"/>
        </w:rPr>
        <w:t xml:space="preserve"> y </w:t>
      </w:r>
      <w:proofErr w:type="spellStart"/>
      <w:r w:rsidRPr="00876343">
        <w:rPr>
          <w:rFonts w:ascii="Times New Roman" w:eastAsia="Times New Roman" w:hAnsi="Times New Roman" w:cs="Times New Roman"/>
          <w:i/>
          <w:lang w:val="es-CO"/>
        </w:rPr>
        <w:t>bank.assets</w:t>
      </w:r>
      <w:proofErr w:type="spellEnd"/>
      <w:r w:rsidRPr="00876343">
        <w:rPr>
          <w:rFonts w:ascii="Times New Roman" w:eastAsia="Times New Roman" w:hAnsi="Times New Roman" w:cs="Times New Roman"/>
          <w:lang w:val="es-CO"/>
        </w:rPr>
        <w:t xml:space="preserve">, mostrando distribuciones similares con medianas cercanas. Sin embargo, ambos presentan una gran cantidad de valores atípicos, especialmente en </w:t>
      </w:r>
      <w:proofErr w:type="spellStart"/>
      <w:proofErr w:type="gramStart"/>
      <w:r w:rsidRPr="00876343">
        <w:rPr>
          <w:rFonts w:ascii="Times New Roman" w:eastAsia="Times New Roman" w:hAnsi="Times New Roman" w:cs="Times New Roman"/>
          <w:i/>
          <w:lang w:val="es-CO"/>
        </w:rPr>
        <w:t>bank.assets</w:t>
      </w:r>
      <w:proofErr w:type="spellEnd"/>
      <w:proofErr w:type="gramEnd"/>
      <w:r w:rsidRPr="00876343">
        <w:rPr>
          <w:rFonts w:ascii="Times New Roman" w:eastAsia="Times New Roman" w:hAnsi="Times New Roman" w:cs="Times New Roman"/>
          <w:lang w:val="es-CO"/>
        </w:rPr>
        <w:t>, donde se obser</w:t>
      </w:r>
      <w:r w:rsidRPr="00876343">
        <w:rPr>
          <w:rFonts w:ascii="Times New Roman" w:eastAsia="Times New Roman" w:hAnsi="Times New Roman" w:cs="Times New Roman"/>
          <w:lang w:val="es-CO"/>
        </w:rPr>
        <w:t xml:space="preserve">van datos que superan ampliamente los 200. Esta dispersión sugiere que existen economías con un nivel de desarrollo financiero mucho mayor que otras, lo que se traduce en diferencias significativas en la cantidad de crédito otorgado al sector privado y en </w:t>
      </w:r>
      <w:r w:rsidRPr="00876343">
        <w:rPr>
          <w:rFonts w:ascii="Times New Roman" w:eastAsia="Times New Roman" w:hAnsi="Times New Roman" w:cs="Times New Roman"/>
          <w:lang w:val="es-CO"/>
        </w:rPr>
        <w:t>el tamaño de los activos bancarios. En algunos países, el acceso al crédito es limitado, mientras que en otros el sistema financiero es robusto y altamente capitalizado, lo que genera esta variabilidad extrema.</w:t>
      </w:r>
    </w:p>
    <w:p w14:paraId="42D0BD20"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8E50AD" wp14:editId="34B9F6C2">
            <wp:extent cx="3163253" cy="201572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63253" cy="2015724"/>
                    </a:xfrm>
                    <a:prstGeom prst="rect">
                      <a:avLst/>
                    </a:prstGeom>
                    <a:ln/>
                  </pic:spPr>
                </pic:pic>
              </a:graphicData>
            </a:graphic>
          </wp:inline>
        </w:drawing>
      </w:r>
    </w:p>
    <w:p w14:paraId="5CF443BD" w14:textId="77777777" w:rsidR="00AA38E4" w:rsidRPr="00876343" w:rsidRDefault="00F77753">
      <w:pP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En el gráfico "Bank </w:t>
      </w:r>
      <w:proofErr w:type="spellStart"/>
      <w:r w:rsidRPr="00876343">
        <w:rPr>
          <w:rFonts w:ascii="Times New Roman" w:eastAsia="Times New Roman" w:hAnsi="Times New Roman" w:cs="Times New Roman"/>
          <w:lang w:val="es-CO"/>
        </w:rPr>
        <w:t>accounts</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access</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indicat</w:t>
      </w:r>
      <w:r w:rsidRPr="00876343">
        <w:rPr>
          <w:rFonts w:ascii="Times New Roman" w:eastAsia="Times New Roman" w:hAnsi="Times New Roman" w:cs="Times New Roman"/>
          <w:lang w:val="es-CO"/>
        </w:rPr>
        <w:t>or</w:t>
      </w:r>
      <w:proofErr w:type="spellEnd"/>
      <w:r w:rsidRPr="00876343">
        <w:rPr>
          <w:rFonts w:ascii="Times New Roman" w:eastAsia="Times New Roman" w:hAnsi="Times New Roman" w:cs="Times New Roman"/>
          <w:lang w:val="es-CO"/>
        </w:rPr>
        <w:t xml:space="preserve">", se aprecia que la mayoría de los datos se concentran en valores relativamente bajos, pero existen múltiples valores atípicos que superan los 1500 y algunos que incluso alcanzan los 3500. La presencia de tantos </w:t>
      </w:r>
      <w:proofErr w:type="spellStart"/>
      <w:r w:rsidRPr="00876343">
        <w:rPr>
          <w:rFonts w:ascii="Times New Roman" w:eastAsia="Times New Roman" w:hAnsi="Times New Roman" w:cs="Times New Roman"/>
          <w:lang w:val="es-CO"/>
        </w:rPr>
        <w:t>outliers</w:t>
      </w:r>
      <w:proofErr w:type="spellEnd"/>
      <w:r w:rsidRPr="00876343">
        <w:rPr>
          <w:rFonts w:ascii="Times New Roman" w:eastAsia="Times New Roman" w:hAnsi="Times New Roman" w:cs="Times New Roman"/>
          <w:lang w:val="es-CO"/>
        </w:rPr>
        <w:t xml:space="preserve"> indica que, aunque en muchas reg</w:t>
      </w:r>
      <w:r w:rsidRPr="00876343">
        <w:rPr>
          <w:rFonts w:ascii="Times New Roman" w:eastAsia="Times New Roman" w:hAnsi="Times New Roman" w:cs="Times New Roman"/>
          <w:lang w:val="es-CO"/>
        </w:rPr>
        <w:t xml:space="preserve">iones el acceso a cuentas bancarias es limitado, en ciertos países la bancarización es significativamente </w:t>
      </w:r>
      <w:r w:rsidRPr="00876343">
        <w:rPr>
          <w:rFonts w:ascii="Times New Roman" w:eastAsia="Times New Roman" w:hAnsi="Times New Roman" w:cs="Times New Roman"/>
          <w:lang w:val="es-CO"/>
        </w:rPr>
        <w:lastRenderedPageBreak/>
        <w:t>mayor, lo que genera una distribución altamente sesgada. Este fenómeno puede estar influenciado por factores como políticas gubernamentales, la digita</w:t>
      </w:r>
      <w:r w:rsidRPr="00876343">
        <w:rPr>
          <w:rFonts w:ascii="Times New Roman" w:eastAsia="Times New Roman" w:hAnsi="Times New Roman" w:cs="Times New Roman"/>
          <w:lang w:val="es-CO"/>
        </w:rPr>
        <w:t>lización de los servicios financieros y la infraestructura bancaria, que varían ampliamente entre economías desarrolladas y en desarrollo.</w:t>
      </w:r>
    </w:p>
    <w:p w14:paraId="21D79363"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3C3855" wp14:editId="6A49F622">
            <wp:extent cx="3134678" cy="204368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34678" cy="2043687"/>
                    </a:xfrm>
                    <a:prstGeom prst="rect">
                      <a:avLst/>
                    </a:prstGeom>
                    <a:ln/>
                  </pic:spPr>
                </pic:pic>
              </a:graphicData>
            </a:graphic>
          </wp:inline>
        </w:drawing>
      </w:r>
    </w:p>
    <w:p w14:paraId="663DFBC1" w14:textId="77777777" w:rsidR="00AA38E4" w:rsidRPr="00876343" w:rsidRDefault="00F77753">
      <w:pP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El gráfico "Access </w:t>
      </w:r>
      <w:proofErr w:type="spellStart"/>
      <w:r w:rsidRPr="00876343">
        <w:rPr>
          <w:rFonts w:ascii="Times New Roman" w:eastAsia="Times New Roman" w:hAnsi="Times New Roman" w:cs="Times New Roman"/>
          <w:lang w:val="es-CO"/>
        </w:rPr>
        <w:t>indicators</w:t>
      </w:r>
      <w:proofErr w:type="spellEnd"/>
      <w:r w:rsidRPr="00876343">
        <w:rPr>
          <w:rFonts w:ascii="Times New Roman" w:eastAsia="Times New Roman" w:hAnsi="Times New Roman" w:cs="Times New Roman"/>
          <w:lang w:val="es-CO"/>
        </w:rPr>
        <w:t xml:space="preserve">" analiza tres variables: </w:t>
      </w:r>
      <w:proofErr w:type="spellStart"/>
      <w:proofErr w:type="gramStart"/>
      <w:r w:rsidRPr="00876343">
        <w:rPr>
          <w:rFonts w:ascii="Times New Roman" w:eastAsia="Times New Roman" w:hAnsi="Times New Roman" w:cs="Times New Roman"/>
          <w:i/>
          <w:lang w:val="es-CO"/>
        </w:rPr>
        <w:t>bank.branches</w:t>
      </w:r>
      <w:proofErr w:type="spellEnd"/>
      <w:proofErr w:type="gram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i/>
          <w:lang w:val="es-CO"/>
        </w:rPr>
        <w:t>firms.credit</w:t>
      </w:r>
      <w:proofErr w:type="spellEnd"/>
      <w:r w:rsidRPr="00876343">
        <w:rPr>
          <w:rFonts w:ascii="Times New Roman" w:eastAsia="Times New Roman" w:hAnsi="Times New Roman" w:cs="Times New Roman"/>
          <w:lang w:val="es-CO"/>
        </w:rPr>
        <w:t xml:space="preserve"> y </w:t>
      </w:r>
      <w:proofErr w:type="spellStart"/>
      <w:r w:rsidRPr="00876343">
        <w:rPr>
          <w:rFonts w:ascii="Times New Roman" w:eastAsia="Times New Roman" w:hAnsi="Times New Roman" w:cs="Times New Roman"/>
          <w:i/>
          <w:lang w:val="es-CO"/>
        </w:rPr>
        <w:t>small.firms.credit</w:t>
      </w:r>
      <w:proofErr w:type="spellEnd"/>
      <w:r w:rsidRPr="00876343">
        <w:rPr>
          <w:rFonts w:ascii="Times New Roman" w:eastAsia="Times New Roman" w:hAnsi="Times New Roman" w:cs="Times New Roman"/>
          <w:lang w:val="es-CO"/>
        </w:rPr>
        <w:t>. Se observa</w:t>
      </w:r>
      <w:r w:rsidRPr="00876343">
        <w:rPr>
          <w:rFonts w:ascii="Times New Roman" w:eastAsia="Times New Roman" w:hAnsi="Times New Roman" w:cs="Times New Roman"/>
          <w:lang w:val="es-CO"/>
        </w:rPr>
        <w:t xml:space="preserve"> que </w:t>
      </w:r>
      <w:proofErr w:type="spellStart"/>
      <w:proofErr w:type="gramStart"/>
      <w:r w:rsidRPr="00876343">
        <w:rPr>
          <w:rFonts w:ascii="Times New Roman" w:eastAsia="Times New Roman" w:hAnsi="Times New Roman" w:cs="Times New Roman"/>
          <w:i/>
          <w:lang w:val="es-CO"/>
        </w:rPr>
        <w:t>bank.branches</w:t>
      </w:r>
      <w:proofErr w:type="spellEnd"/>
      <w:proofErr w:type="gramEnd"/>
      <w:r w:rsidRPr="00876343">
        <w:rPr>
          <w:rFonts w:ascii="Times New Roman" w:eastAsia="Times New Roman" w:hAnsi="Times New Roman" w:cs="Times New Roman"/>
          <w:lang w:val="es-CO"/>
        </w:rPr>
        <w:t xml:space="preserve"> tiene una mediana más baja en comparación con las otras dos variables, pero es el indicador con más valores atípicos, con algunos datos que superan los 200. Esto sugiere que en algunos países el acceso a sucursales bancarias es extremada</w:t>
      </w:r>
      <w:r w:rsidRPr="00876343">
        <w:rPr>
          <w:rFonts w:ascii="Times New Roman" w:eastAsia="Times New Roman" w:hAnsi="Times New Roman" w:cs="Times New Roman"/>
          <w:lang w:val="es-CO"/>
        </w:rPr>
        <w:t>mente limitado, mientras que en otros la cantidad de sucursales por habitante es muy alta. Del mismo modo, el acceso al crédito para empresas y pequeñas firmas muestra una variabilidad considerable, reflejando diferencias estructurales en los mercados fina</w:t>
      </w:r>
      <w:r w:rsidRPr="00876343">
        <w:rPr>
          <w:rFonts w:ascii="Times New Roman" w:eastAsia="Times New Roman" w:hAnsi="Times New Roman" w:cs="Times New Roman"/>
          <w:lang w:val="es-CO"/>
        </w:rPr>
        <w:t xml:space="preserve">ncieros y en las políticas de financiamiento empresarial. En general, los </w:t>
      </w:r>
      <w:proofErr w:type="spellStart"/>
      <w:r w:rsidRPr="00876343">
        <w:rPr>
          <w:rFonts w:ascii="Times New Roman" w:eastAsia="Times New Roman" w:hAnsi="Times New Roman" w:cs="Times New Roman"/>
          <w:lang w:val="es-CO"/>
        </w:rPr>
        <w:t>outliers</w:t>
      </w:r>
      <w:proofErr w:type="spellEnd"/>
      <w:r w:rsidRPr="00876343">
        <w:rPr>
          <w:rFonts w:ascii="Times New Roman" w:eastAsia="Times New Roman" w:hAnsi="Times New Roman" w:cs="Times New Roman"/>
          <w:lang w:val="es-CO"/>
        </w:rPr>
        <w:t xml:space="preserve"> en estos gráficos pueden explicarse por la heterogeneidad entre países en términos de acceso a servicios financieros, regulaciones y desarrollo económico, lo que genera brec</w:t>
      </w:r>
      <w:r w:rsidRPr="00876343">
        <w:rPr>
          <w:rFonts w:ascii="Times New Roman" w:eastAsia="Times New Roman" w:hAnsi="Times New Roman" w:cs="Times New Roman"/>
          <w:lang w:val="es-CO"/>
        </w:rPr>
        <w:t>has significativas en los indicadores analizados.</w:t>
      </w:r>
    </w:p>
    <w:p w14:paraId="72EFFD31"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746DB7" wp14:editId="37A1C685">
            <wp:extent cx="3305243" cy="217919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05243" cy="2179192"/>
                    </a:xfrm>
                    <a:prstGeom prst="rect">
                      <a:avLst/>
                    </a:prstGeom>
                    <a:ln/>
                  </pic:spPr>
                </pic:pic>
              </a:graphicData>
            </a:graphic>
          </wp:inline>
        </w:drawing>
      </w:r>
    </w:p>
    <w:p w14:paraId="7BD13815" w14:textId="77777777" w:rsidR="00AA38E4" w:rsidRPr="00876343" w:rsidRDefault="00F77753">
      <w:pPr>
        <w:spacing w:line="276" w:lineRule="auto"/>
        <w:jc w:val="both"/>
        <w:rPr>
          <w:rFonts w:ascii="Times New Roman" w:eastAsia="Times New Roman" w:hAnsi="Times New Roman" w:cs="Times New Roman"/>
          <w:lang w:val="es-CO"/>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gráfico</w:t>
      </w:r>
      <w:proofErr w:type="spellEnd"/>
      <w:r>
        <w:rPr>
          <w:rFonts w:ascii="Times New Roman" w:eastAsia="Times New Roman" w:hAnsi="Times New Roman" w:cs="Times New Roman"/>
        </w:rPr>
        <w:t xml:space="preserve"> "Stability indicators" </w:t>
      </w:r>
      <w:proofErr w:type="spellStart"/>
      <w:r>
        <w:rPr>
          <w:rFonts w:ascii="Times New Roman" w:eastAsia="Times New Roman" w:hAnsi="Times New Roman" w:cs="Times New Roman"/>
        </w:rPr>
        <w:t>compara</w:t>
      </w:r>
      <w:proofErr w:type="spellEnd"/>
      <w:r>
        <w:rPr>
          <w:rFonts w:ascii="Times New Roman" w:eastAsia="Times New Roman" w:hAnsi="Times New Roman" w:cs="Times New Roman"/>
        </w:rPr>
        <w:t xml:space="preserve"> los </w:t>
      </w:r>
      <w:proofErr w:type="spellStart"/>
      <w:r>
        <w:rPr>
          <w:rFonts w:ascii="Times New Roman" w:eastAsia="Times New Roman" w:hAnsi="Times New Roman" w:cs="Times New Roman"/>
        </w:rPr>
        <w:t>indicadores</w:t>
      </w:r>
      <w:proofErr w:type="spellEnd"/>
      <w:r>
        <w:rPr>
          <w:rFonts w:ascii="Times New Roman" w:eastAsia="Times New Roman" w:hAnsi="Times New Roman" w:cs="Times New Roman"/>
        </w:rPr>
        <w:t xml:space="preserve"> Bank Z-scores y Bank regulatory capital to risk-weighted assets, </w:t>
      </w:r>
      <w:proofErr w:type="spellStart"/>
      <w:r>
        <w:rPr>
          <w:rFonts w:ascii="Times New Roman" w:eastAsia="Times New Roman" w:hAnsi="Times New Roman" w:cs="Times New Roman"/>
        </w:rPr>
        <w:t>mostrando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distribuciones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diferentes</w:t>
      </w:r>
      <w:proofErr w:type="spellEnd"/>
      <w:r>
        <w:rPr>
          <w:rFonts w:ascii="Times New Roman" w:eastAsia="Times New Roman" w:hAnsi="Times New Roman" w:cs="Times New Roman"/>
        </w:rPr>
        <w:t xml:space="preserve">. </w:t>
      </w:r>
      <w:r w:rsidRPr="00876343">
        <w:rPr>
          <w:rFonts w:ascii="Times New Roman" w:eastAsia="Times New Roman" w:hAnsi="Times New Roman" w:cs="Times New Roman"/>
          <w:lang w:val="es-CO"/>
        </w:rPr>
        <w:t xml:space="preserve">Bank Z-scores presenta una mediana más baja y una mayor dispersión, con numerosos </w:t>
      </w:r>
      <w:proofErr w:type="spellStart"/>
      <w:r w:rsidRPr="00876343">
        <w:rPr>
          <w:rFonts w:ascii="Times New Roman" w:eastAsia="Times New Roman" w:hAnsi="Times New Roman" w:cs="Times New Roman"/>
          <w:lang w:val="es-CO"/>
        </w:rPr>
        <w:t>outliters</w:t>
      </w:r>
      <w:proofErr w:type="spellEnd"/>
      <w:r w:rsidRPr="00876343">
        <w:rPr>
          <w:rFonts w:ascii="Times New Roman" w:eastAsia="Times New Roman" w:hAnsi="Times New Roman" w:cs="Times New Roman"/>
          <w:lang w:val="es-CO"/>
        </w:rPr>
        <w:t xml:space="preserve"> tant</w:t>
      </w:r>
      <w:r w:rsidRPr="00876343">
        <w:rPr>
          <w:rFonts w:ascii="Times New Roman" w:eastAsia="Times New Roman" w:hAnsi="Times New Roman" w:cs="Times New Roman"/>
          <w:lang w:val="es-CO"/>
        </w:rPr>
        <w:t xml:space="preserve">o en la parte superior como inferior, lo que indica variabilidad en la estabilidad bancaria de los países analizados. Por otro lado, Bank </w:t>
      </w:r>
      <w:proofErr w:type="spellStart"/>
      <w:r w:rsidRPr="00876343">
        <w:rPr>
          <w:rFonts w:ascii="Times New Roman" w:eastAsia="Times New Roman" w:hAnsi="Times New Roman" w:cs="Times New Roman"/>
          <w:lang w:val="es-CO"/>
        </w:rPr>
        <w:t>regulatory</w:t>
      </w:r>
      <w:proofErr w:type="spellEnd"/>
      <w:r w:rsidRPr="00876343">
        <w:rPr>
          <w:rFonts w:ascii="Times New Roman" w:eastAsia="Times New Roman" w:hAnsi="Times New Roman" w:cs="Times New Roman"/>
          <w:lang w:val="es-CO"/>
        </w:rPr>
        <w:t xml:space="preserve"> muestra una distribución más concentrada con algunos valores extremos. La presencia de múltiples </w:t>
      </w:r>
      <w:proofErr w:type="spellStart"/>
      <w:r w:rsidRPr="00876343">
        <w:rPr>
          <w:rFonts w:ascii="Times New Roman" w:eastAsia="Times New Roman" w:hAnsi="Times New Roman" w:cs="Times New Roman"/>
          <w:lang w:val="es-CO"/>
        </w:rPr>
        <w:t>outliters</w:t>
      </w:r>
      <w:proofErr w:type="spellEnd"/>
      <w:r w:rsidRPr="00876343">
        <w:rPr>
          <w:rFonts w:ascii="Times New Roman" w:eastAsia="Times New Roman" w:hAnsi="Times New Roman" w:cs="Times New Roman"/>
          <w:lang w:val="es-CO"/>
        </w:rPr>
        <w:t xml:space="preserve"> </w:t>
      </w:r>
      <w:r w:rsidRPr="00876343">
        <w:rPr>
          <w:rFonts w:ascii="Times New Roman" w:eastAsia="Times New Roman" w:hAnsi="Times New Roman" w:cs="Times New Roman"/>
          <w:lang w:val="es-CO"/>
        </w:rPr>
        <w:t xml:space="preserve">sugiere diferencias estructurales en los sistemas financieros, donde algunas economías tienen </w:t>
      </w:r>
      <w:r w:rsidRPr="00876343">
        <w:rPr>
          <w:rFonts w:ascii="Times New Roman" w:eastAsia="Times New Roman" w:hAnsi="Times New Roman" w:cs="Times New Roman"/>
          <w:lang w:val="es-CO"/>
        </w:rPr>
        <w:lastRenderedPageBreak/>
        <w:t>bancos con alta estabilidad y solidez regulatoria, mientras que otras presentan mayor volatilidad y riesgo en el sector bancario.</w:t>
      </w:r>
    </w:p>
    <w:p w14:paraId="2461846D"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rPr>
        <w:t>P10.1.3. Choose one indicator in</w:t>
      </w:r>
      <w:r>
        <w:rPr>
          <w:rFonts w:ascii="Times New Roman" w:eastAsia="Times New Roman" w:hAnsi="Times New Roman" w:cs="Times New Roman"/>
        </w:rPr>
        <w:t xml:space="preserve"> Depth and one indicator in Access:</w:t>
      </w:r>
    </w:p>
    <w:p w14:paraId="4C221ABF" w14:textId="77777777" w:rsidR="00AA38E4" w:rsidRDefault="00F77753">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Make tables showing the average of those indicators and number of observations (count), with ‘Region’ or ‘Income Group’ as the column variable(s) and ‘Year’ (2000–2014 only) as the row variable. (Make a separate table fo</w:t>
      </w:r>
      <w:r>
        <w:rPr>
          <w:rFonts w:ascii="Times New Roman" w:eastAsia="Times New Roman" w:hAnsi="Times New Roman" w:cs="Times New Roman"/>
          <w:color w:val="000000"/>
        </w:rPr>
        <w:t>r region and income group.)</w:t>
      </w:r>
    </w:p>
    <w:p w14:paraId="5368E05C" w14:textId="77777777" w:rsidR="00AA38E4" w:rsidRDefault="00AA38E4">
      <w:pPr>
        <w:pBdr>
          <w:top w:val="nil"/>
          <w:left w:val="nil"/>
          <w:bottom w:val="nil"/>
          <w:right w:val="nil"/>
          <w:between w:val="nil"/>
        </w:pBdr>
        <w:spacing w:after="0" w:line="276" w:lineRule="auto"/>
        <w:jc w:val="both"/>
        <w:rPr>
          <w:rFonts w:ascii="Times New Roman" w:eastAsia="Times New Roman" w:hAnsi="Times New Roman" w:cs="Times New Roman"/>
        </w:rPr>
      </w:pPr>
    </w:p>
    <w:p w14:paraId="7974147E" w14:textId="77777777" w:rsidR="00AA38E4" w:rsidRDefault="00F77753">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 xml:space="preserve">For each indicator chosen, make a line chart with the average indicator value (either for region or income group) as the vertical axis variable, and year as the horizontal axis variable. </w:t>
      </w:r>
      <w:r>
        <w:rPr>
          <w:rFonts w:ascii="Times New Roman" w:eastAsia="Times New Roman" w:hAnsi="Times New Roman" w:cs="Times New Roman"/>
          <w:b/>
          <w:color w:val="000000"/>
        </w:rPr>
        <w:t>Comment on any patterns you see across regions/income groups and tim</w:t>
      </w:r>
      <w:r>
        <w:rPr>
          <w:rFonts w:ascii="Times New Roman" w:eastAsia="Times New Roman" w:hAnsi="Times New Roman" w:cs="Times New Roman"/>
          <w:color w:val="000000"/>
        </w:rPr>
        <w:t>e</w:t>
      </w:r>
      <w:r>
        <w:rPr>
          <w:rFonts w:ascii="Times New Roman" w:eastAsia="Times New Roman" w:hAnsi="Times New Roman" w:cs="Times New Roman"/>
          <w:color w:val="000000"/>
        </w:rPr>
        <w:t>.</w:t>
      </w:r>
    </w:p>
    <w:p w14:paraId="75431544"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Income group private credit </w:t>
      </w:r>
    </w:p>
    <w:p w14:paraId="2993B655"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49A944" wp14:editId="28EF8473">
            <wp:extent cx="3712578" cy="207676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712578" cy="2076768"/>
                    </a:xfrm>
                    <a:prstGeom prst="rect">
                      <a:avLst/>
                    </a:prstGeom>
                    <a:ln/>
                  </pic:spPr>
                </pic:pic>
              </a:graphicData>
            </a:graphic>
          </wp:inline>
        </w:drawing>
      </w:r>
    </w:p>
    <w:p w14:paraId="22C6B29F" w14:textId="77777777" w:rsidR="00AA38E4" w:rsidRPr="00876343" w:rsidRDefault="00F77753">
      <w:pPr>
        <w:spacing w:before="240"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El gráfico muestra diferencias marcadas en el acceso al crédito privado según el nivel de ingresos de los países. Los países de altos ingresos (OECD) tienen los niveles más elevados de crédito privado en relación con el </w:t>
      </w:r>
      <w:r w:rsidRPr="00876343">
        <w:rPr>
          <w:rFonts w:ascii="Times New Roman" w:eastAsia="Times New Roman" w:hAnsi="Times New Roman" w:cs="Times New Roman"/>
          <w:lang w:val="es-CO"/>
        </w:rPr>
        <w:t>PIB, con un crecimiento sostenido hasta alcanzar su punto máximo en 2009, seguido de una ligera contracción. Esto puede estar relacionado con la crisis financiera global de 2008, que llevó a una disminución en la concesión de créditos.</w:t>
      </w:r>
    </w:p>
    <w:p w14:paraId="3BBF4C23" w14:textId="77777777" w:rsidR="00AA38E4" w:rsidRPr="00876343" w:rsidRDefault="00F77753">
      <w:pPr>
        <w:spacing w:before="240"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Los países de ingres</w:t>
      </w:r>
      <w:r w:rsidRPr="00876343">
        <w:rPr>
          <w:rFonts w:ascii="Times New Roman" w:eastAsia="Times New Roman" w:hAnsi="Times New Roman" w:cs="Times New Roman"/>
          <w:lang w:val="es-CO"/>
        </w:rPr>
        <w:t>os medios, tanto superiores como inferiores, muestran una tendencia creciente en la concesión de crédito, lo que indica un proceso de expansión financiera y fortalecimiento de los mercados crediticios. Sin embargo, estos niveles siguen estando por debajo d</w:t>
      </w:r>
      <w:r w:rsidRPr="00876343">
        <w:rPr>
          <w:rFonts w:ascii="Times New Roman" w:eastAsia="Times New Roman" w:hAnsi="Times New Roman" w:cs="Times New Roman"/>
          <w:lang w:val="es-CO"/>
        </w:rPr>
        <w:t>e los países de altos ingresos. En el caso de los países de bajos ingresos, la evolución del crédito privado es más estable y con valores significativamente más bajos, lo que sugiere restricciones en el acceso al financiamiento debido a limitaciones estruc</w:t>
      </w:r>
      <w:r w:rsidRPr="00876343">
        <w:rPr>
          <w:rFonts w:ascii="Times New Roman" w:eastAsia="Times New Roman" w:hAnsi="Times New Roman" w:cs="Times New Roman"/>
          <w:lang w:val="es-CO"/>
        </w:rPr>
        <w:t>turales en el sistema financiero o falta de inclusión financiera. En general, el acceso al crédito se correlaciona fuertemente con el desarrollo económico y la estabilidad de los mercados financieros.</w:t>
      </w:r>
    </w:p>
    <w:p w14:paraId="34D8B468" w14:textId="77777777" w:rsidR="00AA38E4" w:rsidRPr="00876343" w:rsidRDefault="00AA38E4">
      <w:pPr>
        <w:pBdr>
          <w:top w:val="nil"/>
          <w:left w:val="nil"/>
          <w:bottom w:val="nil"/>
          <w:right w:val="nil"/>
          <w:between w:val="nil"/>
        </w:pBdr>
        <w:spacing w:line="276" w:lineRule="auto"/>
        <w:jc w:val="both"/>
        <w:rPr>
          <w:rFonts w:ascii="Times New Roman" w:eastAsia="Times New Roman" w:hAnsi="Times New Roman" w:cs="Times New Roman"/>
          <w:lang w:val="es-CO"/>
        </w:rPr>
      </w:pPr>
    </w:p>
    <w:p w14:paraId="788DBD83"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Income group bank accounts</w:t>
      </w:r>
    </w:p>
    <w:p w14:paraId="70AC5295"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7B8F517" wp14:editId="5D9F2781">
            <wp:extent cx="3277553" cy="179635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277553" cy="1796351"/>
                    </a:xfrm>
                    <a:prstGeom prst="rect">
                      <a:avLst/>
                    </a:prstGeom>
                    <a:ln/>
                  </pic:spPr>
                </pic:pic>
              </a:graphicData>
            </a:graphic>
          </wp:inline>
        </w:drawing>
      </w:r>
    </w:p>
    <w:p w14:paraId="1DE9120C" w14:textId="77777777" w:rsidR="00AA38E4" w:rsidRPr="00876343" w:rsidRDefault="00F77753">
      <w:pPr>
        <w:spacing w:before="240"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El acceso a cuentas banca</w:t>
      </w:r>
      <w:r w:rsidRPr="00876343">
        <w:rPr>
          <w:rFonts w:ascii="Times New Roman" w:eastAsia="Times New Roman" w:hAnsi="Times New Roman" w:cs="Times New Roman"/>
          <w:lang w:val="es-CO"/>
        </w:rPr>
        <w:t>rias muestra una evolución diferenciada entre los distintos niveles de ingresos. Los países de altos ingresos, tanto OECD como no-OECD, presentan un aumento significativo en la cantidad de cuentas bancarias por cada 1,000 adultos entre 2000 y 2007, alcanza</w:t>
      </w:r>
      <w:r w:rsidRPr="00876343">
        <w:rPr>
          <w:rFonts w:ascii="Times New Roman" w:eastAsia="Times New Roman" w:hAnsi="Times New Roman" w:cs="Times New Roman"/>
          <w:lang w:val="es-CO"/>
        </w:rPr>
        <w:t>ndo su punto más alto en 2007-2008. Posteriormente, se observa una ligera caída y una estabilización, posiblemente debido a la crisis financiera de 2008, que pudo haber reducido la confianza en el sistema bancario o provocado fusiones y cierres de bancos.</w:t>
      </w:r>
    </w:p>
    <w:p w14:paraId="116609D7" w14:textId="77777777" w:rsidR="00AA38E4" w:rsidRPr="00876343" w:rsidRDefault="00F77753">
      <w:pPr>
        <w:spacing w:before="240"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Los países de ingresos medios muestran un crecimiento más gradual, con una tendencia positiva a lo largo del tiempo. Esto puede reflejar la implementación de políticas de inclusión financiera, digitalización de la banca y expansión de servicios financieros</w:t>
      </w:r>
      <w:r w:rsidRPr="00876343">
        <w:rPr>
          <w:rFonts w:ascii="Times New Roman" w:eastAsia="Times New Roman" w:hAnsi="Times New Roman" w:cs="Times New Roman"/>
          <w:lang w:val="es-CO"/>
        </w:rPr>
        <w:t xml:space="preserve"> en estos países. En contraste, los países de bajos ingresos presentan el nivel más bajo de bancarización y un crecimiento más moderado, lo que sugiere que persisten barreras como la falta de acceso a infraestructura financiera, regulaciones restrictivas o</w:t>
      </w:r>
      <w:r w:rsidRPr="00876343">
        <w:rPr>
          <w:rFonts w:ascii="Times New Roman" w:eastAsia="Times New Roman" w:hAnsi="Times New Roman" w:cs="Times New Roman"/>
          <w:lang w:val="es-CO"/>
        </w:rPr>
        <w:t xml:space="preserve"> bajos niveles de educación financiera.</w:t>
      </w:r>
    </w:p>
    <w:p w14:paraId="1294286B" w14:textId="77777777" w:rsidR="00AA38E4" w:rsidRPr="00876343" w:rsidRDefault="00F77753">
      <w:pPr>
        <w:spacing w:before="240"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En conjunto, estos datos reflejan que el acceso a los servicios bancarios está fuertemente ligado al nivel de desarrollo económico de cada país y que, a pesar de los avances, sigue habiendo una gran brecha en término</w:t>
      </w:r>
      <w:r w:rsidRPr="00876343">
        <w:rPr>
          <w:rFonts w:ascii="Times New Roman" w:eastAsia="Times New Roman" w:hAnsi="Times New Roman" w:cs="Times New Roman"/>
          <w:lang w:val="es-CO"/>
        </w:rPr>
        <w:t>s de inclusión financiera entre los distintos grupos de ingresos.</w:t>
      </w:r>
    </w:p>
    <w:p w14:paraId="58DF43E5" w14:textId="77777777" w:rsidR="00AA38E4" w:rsidRPr="00876343" w:rsidRDefault="00AA38E4">
      <w:pPr>
        <w:pBdr>
          <w:top w:val="nil"/>
          <w:left w:val="nil"/>
          <w:bottom w:val="nil"/>
          <w:right w:val="nil"/>
          <w:between w:val="nil"/>
        </w:pBdr>
        <w:spacing w:line="276" w:lineRule="auto"/>
        <w:jc w:val="both"/>
        <w:rPr>
          <w:rFonts w:ascii="Times New Roman" w:eastAsia="Times New Roman" w:hAnsi="Times New Roman" w:cs="Times New Roman"/>
          <w:lang w:val="es-CO"/>
        </w:rPr>
      </w:pPr>
    </w:p>
    <w:p w14:paraId="083C9CC9"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Regions private credit</w:t>
      </w:r>
    </w:p>
    <w:p w14:paraId="18577069"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BB69E3" wp14:editId="59DA0420">
            <wp:extent cx="3048953" cy="181516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48953" cy="1815160"/>
                    </a:xfrm>
                    <a:prstGeom prst="rect">
                      <a:avLst/>
                    </a:prstGeom>
                    <a:ln/>
                  </pic:spPr>
                </pic:pic>
              </a:graphicData>
            </a:graphic>
          </wp:inline>
        </w:drawing>
      </w:r>
    </w:p>
    <w:p w14:paraId="6D80381F" w14:textId="77777777" w:rsidR="00AA38E4" w:rsidRPr="00876343" w:rsidRDefault="00F77753">
      <w:pPr>
        <w:pBdr>
          <w:top w:val="nil"/>
          <w:left w:val="nil"/>
          <w:bottom w:val="nil"/>
          <w:right w:val="nil"/>
          <w:between w:val="nil"/>
        </w:pBd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En la primera gráfica, que muestra el promedio de crédito privado por región, se observa que la región de Asia Oriental y el Pacífico tuvo una fluctuación significa</w:t>
      </w:r>
      <w:r w:rsidRPr="00876343">
        <w:rPr>
          <w:rFonts w:ascii="Times New Roman" w:eastAsia="Times New Roman" w:hAnsi="Times New Roman" w:cs="Times New Roman"/>
          <w:lang w:val="es-CO"/>
        </w:rPr>
        <w:t xml:space="preserve">tiva entre 2000 y 2014, con un fuerte aumento hasta 2008 seguido de una caída abrupta. Esto podría deberse a la crisis financiera global de </w:t>
      </w:r>
      <w:r w:rsidRPr="00876343">
        <w:rPr>
          <w:rFonts w:ascii="Times New Roman" w:eastAsia="Times New Roman" w:hAnsi="Times New Roman" w:cs="Times New Roman"/>
          <w:lang w:val="es-CO"/>
        </w:rPr>
        <w:lastRenderedPageBreak/>
        <w:t>2008, que impactó fuertemente a las economías con sistemas financieros más expuestos. Europa y Asia Central presenta</w:t>
      </w:r>
      <w:r w:rsidRPr="00876343">
        <w:rPr>
          <w:rFonts w:ascii="Times New Roman" w:eastAsia="Times New Roman" w:hAnsi="Times New Roman" w:cs="Times New Roman"/>
          <w:lang w:val="es-CO"/>
        </w:rPr>
        <w:t xml:space="preserve">n una tendencia ascendente más estable, posiblemente debido a políticas bancarias más reguladas y mercados financieros menos volátiles. Mientras tanto, América Latina y el Caribe y Medio Oriente y el Norte de África muestran una progresión más gradual con </w:t>
      </w:r>
      <w:r w:rsidRPr="00876343">
        <w:rPr>
          <w:rFonts w:ascii="Times New Roman" w:eastAsia="Times New Roman" w:hAnsi="Times New Roman" w:cs="Times New Roman"/>
          <w:lang w:val="es-CO"/>
        </w:rPr>
        <w:t>valores más bajos, lo que podría indicar un acceso más limitado al crédito y sistemas financieros menos desarrollados.</w:t>
      </w:r>
    </w:p>
    <w:p w14:paraId="6AF5DE24"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rPr>
        <w:t>Regions bank accounts</w:t>
      </w:r>
    </w:p>
    <w:p w14:paraId="75580608" w14:textId="77777777" w:rsidR="00AA38E4" w:rsidRDefault="00F77753">
      <w:pPr>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DD3796" wp14:editId="10AA47EB">
            <wp:extent cx="3134678" cy="191446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134678" cy="1914467"/>
                    </a:xfrm>
                    <a:prstGeom prst="rect">
                      <a:avLst/>
                    </a:prstGeom>
                    <a:ln/>
                  </pic:spPr>
                </pic:pic>
              </a:graphicData>
            </a:graphic>
          </wp:inline>
        </w:drawing>
      </w:r>
    </w:p>
    <w:p w14:paraId="4CEC63F5" w14:textId="77777777" w:rsidR="00AA38E4" w:rsidRPr="00876343" w:rsidRDefault="00F77753">
      <w:pPr>
        <w:pBdr>
          <w:top w:val="nil"/>
          <w:left w:val="nil"/>
          <w:bottom w:val="nil"/>
          <w:right w:val="nil"/>
          <w:between w:val="nil"/>
        </w:pBd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En la segunda gráfica, que representa el promedio de cuentas bancarias por región, se aprecia un crecimiento cons</w:t>
      </w:r>
      <w:r w:rsidRPr="00876343">
        <w:rPr>
          <w:rFonts w:ascii="Times New Roman" w:eastAsia="Times New Roman" w:hAnsi="Times New Roman" w:cs="Times New Roman"/>
          <w:lang w:val="es-CO"/>
        </w:rPr>
        <w:t>tante en todas las regiones, con Europa y Asia Central liderando con un aumento pronunciado hasta alrededor de 2010, seguido de una ligera estabilización. Esto puede explicarse por la expansión de la banca digital y políticas de inclusión financiera en est</w:t>
      </w:r>
      <w:r w:rsidRPr="00876343">
        <w:rPr>
          <w:rFonts w:ascii="Times New Roman" w:eastAsia="Times New Roman" w:hAnsi="Times New Roman" w:cs="Times New Roman"/>
          <w:lang w:val="es-CO"/>
        </w:rPr>
        <w:t>os países. Asia Oriental y el Pacífico, junto con América Latina y el Caribe, muestran tendencias de crecimiento sostenido, pero con valores más bajos, posiblemente debido a barreras de acceso financiero como costos elevados o falta de infraestructura banc</w:t>
      </w:r>
      <w:r w:rsidRPr="00876343">
        <w:rPr>
          <w:rFonts w:ascii="Times New Roman" w:eastAsia="Times New Roman" w:hAnsi="Times New Roman" w:cs="Times New Roman"/>
          <w:lang w:val="es-CO"/>
        </w:rPr>
        <w:t>aria en algunas áreas. Medio Oriente y el Norte de África presentan un crecimiento más moderado y estable, con el menor número de cuentas bancarias, lo que podría estar relacionado con factores sociopolíticos y limitaciones en la infraestructura financiera</w:t>
      </w:r>
      <w:r w:rsidRPr="00876343">
        <w:rPr>
          <w:rFonts w:ascii="Times New Roman" w:eastAsia="Times New Roman" w:hAnsi="Times New Roman" w:cs="Times New Roman"/>
          <w:lang w:val="es-CO"/>
        </w:rPr>
        <w:t>.</w:t>
      </w:r>
    </w:p>
    <w:p w14:paraId="23C37C02"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rPr>
        <w:t>P10.1.4. For each region and for the years 2004–2014:</w:t>
      </w:r>
    </w:p>
    <w:p w14:paraId="1D790F94" w14:textId="77777777" w:rsidR="00AA38E4" w:rsidRDefault="00F77753">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the ‘Data – June 2016’ tab, create a new variable for the weight, which is the ratio of ‘SP.POP.TOTL’ and the sum of ‘SP.POP.TOTL’ for each country within the relevant region and year. Only use observations that have non-missing values for the ‘GFDD.AI.</w:t>
      </w:r>
      <w:r>
        <w:rPr>
          <w:rFonts w:ascii="Times New Roman" w:eastAsia="Times New Roman" w:hAnsi="Times New Roman" w:cs="Times New Roman"/>
          <w:color w:val="000000"/>
        </w:rPr>
        <w:t xml:space="preserve">01’ indicator variable (Bank accounts per 1,000 adults). </w:t>
      </w:r>
    </w:p>
    <w:p w14:paraId="485752BE" w14:textId="77777777" w:rsidR="00AA38E4" w:rsidRDefault="00F77753">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Check that your answer is correct by filtering the data for a particular region and year and verifying that the weights sum to 1.</w:t>
      </w:r>
    </w:p>
    <w:p w14:paraId="590E22C8" w14:textId="77777777" w:rsidR="00AA38E4" w:rsidRDefault="00F77753">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Now multiply the ‘Bank accounts per 1,000 adults’ indicator by the w</w:t>
      </w:r>
      <w:r>
        <w:rPr>
          <w:rFonts w:ascii="Times New Roman" w:eastAsia="Times New Roman" w:hAnsi="Times New Roman" w:cs="Times New Roman"/>
          <w:color w:val="000000"/>
        </w:rPr>
        <w:t>eights in Question 4(a) and sum up the resulting values according to region to get the weighted average. (Hint: Excel’s PivotTable option can help you sum the values and put them in a table.)</w:t>
      </w:r>
    </w:p>
    <w:p w14:paraId="0E5931BE" w14:textId="77777777" w:rsidR="00AA38E4" w:rsidRDefault="00AA38E4">
      <w:pPr>
        <w:pBdr>
          <w:top w:val="nil"/>
          <w:left w:val="nil"/>
          <w:bottom w:val="nil"/>
          <w:right w:val="nil"/>
          <w:between w:val="nil"/>
        </w:pBdr>
        <w:spacing w:after="0" w:line="276" w:lineRule="auto"/>
        <w:jc w:val="both"/>
        <w:rPr>
          <w:rFonts w:ascii="Times New Roman" w:eastAsia="Times New Roman" w:hAnsi="Times New Roman" w:cs="Times New Roman"/>
        </w:rPr>
      </w:pPr>
    </w:p>
    <w:p w14:paraId="0ED60CC2" w14:textId="77777777" w:rsidR="00AA38E4" w:rsidRDefault="00AA38E4">
      <w:pPr>
        <w:pBdr>
          <w:top w:val="nil"/>
          <w:left w:val="nil"/>
          <w:bottom w:val="nil"/>
          <w:right w:val="nil"/>
          <w:between w:val="nil"/>
        </w:pBdr>
        <w:spacing w:after="0" w:line="276" w:lineRule="auto"/>
        <w:jc w:val="both"/>
        <w:rPr>
          <w:rFonts w:ascii="Times New Roman" w:eastAsia="Times New Roman" w:hAnsi="Times New Roman" w:cs="Times New Roman"/>
        </w:rPr>
      </w:pPr>
    </w:p>
    <w:p w14:paraId="44B433EF" w14:textId="77777777" w:rsidR="00AA38E4" w:rsidRDefault="00F77753">
      <w:p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F95AE5A" wp14:editId="5C4EA46F">
            <wp:extent cx="5612130" cy="1333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1333500"/>
                    </a:xfrm>
                    <a:prstGeom prst="rect">
                      <a:avLst/>
                    </a:prstGeom>
                    <a:ln/>
                  </pic:spPr>
                </pic:pic>
              </a:graphicData>
            </a:graphic>
          </wp:inline>
        </w:drawing>
      </w:r>
    </w:p>
    <w:p w14:paraId="50394046" w14:textId="77777777" w:rsidR="00AA38E4" w:rsidRDefault="00AA38E4">
      <w:pPr>
        <w:pBdr>
          <w:top w:val="nil"/>
          <w:left w:val="nil"/>
          <w:bottom w:val="nil"/>
          <w:right w:val="nil"/>
          <w:between w:val="nil"/>
        </w:pBdr>
        <w:spacing w:after="0" w:line="276" w:lineRule="auto"/>
        <w:jc w:val="both"/>
        <w:rPr>
          <w:rFonts w:ascii="Times New Roman" w:eastAsia="Times New Roman" w:hAnsi="Times New Roman" w:cs="Times New Roman"/>
        </w:rPr>
      </w:pPr>
    </w:p>
    <w:p w14:paraId="3F639F36" w14:textId="77777777" w:rsidR="00AA38E4" w:rsidRPr="00434BB6" w:rsidRDefault="00F77753">
      <w:pPr>
        <w:numPr>
          <w:ilvl w:val="0"/>
          <w:numId w:val="5"/>
        </w:numPr>
        <w:pBdr>
          <w:top w:val="nil"/>
          <w:left w:val="nil"/>
          <w:bottom w:val="nil"/>
          <w:right w:val="nil"/>
          <w:between w:val="nil"/>
        </w:pBdr>
        <w:spacing w:line="276" w:lineRule="auto"/>
        <w:jc w:val="both"/>
        <w:rPr>
          <w:bCs/>
          <w:color w:val="000000"/>
        </w:rPr>
      </w:pPr>
      <w:r w:rsidRPr="00434BB6">
        <w:rPr>
          <w:rFonts w:ascii="Times New Roman" w:eastAsia="Times New Roman" w:hAnsi="Times New Roman" w:cs="Times New Roman"/>
          <w:bCs/>
          <w:color w:val="000000"/>
        </w:rPr>
        <w:t>Compare your answers to Question 4(c) with the correspondin</w:t>
      </w:r>
      <w:r w:rsidRPr="00434BB6">
        <w:rPr>
          <w:rFonts w:ascii="Times New Roman" w:eastAsia="Times New Roman" w:hAnsi="Times New Roman" w:cs="Times New Roman"/>
          <w:bCs/>
          <w:color w:val="000000"/>
        </w:rPr>
        <w:t>g simple averages in Question 3(a) and comment on any similarities or differences.</w:t>
      </w:r>
    </w:p>
    <w:p w14:paraId="6BDFB607" w14:textId="77777777" w:rsidR="00AA38E4" w:rsidRPr="00876343" w:rsidRDefault="00F77753">
      <w:pPr>
        <w:pStyle w:val="Ttulo3"/>
        <w:keepNext w:val="0"/>
        <w:keepLines w:val="0"/>
        <w:shd w:val="clear" w:color="auto" w:fill="FFFFFF"/>
        <w:spacing w:line="276" w:lineRule="auto"/>
        <w:ind w:left="720"/>
        <w:rPr>
          <w:rFonts w:ascii="Times New Roman" w:eastAsia="Times New Roman" w:hAnsi="Times New Roman" w:cs="Times New Roman"/>
          <w:b w:val="0"/>
          <w:bCs/>
          <w:sz w:val="22"/>
          <w:szCs w:val="22"/>
          <w:lang w:val="es-CO"/>
        </w:rPr>
      </w:pPr>
      <w:bookmarkStart w:id="0" w:name="_heading=h.hk16einn7asn" w:colFirst="0" w:colLast="0"/>
      <w:bookmarkEnd w:id="0"/>
      <w:r w:rsidRPr="00876343">
        <w:rPr>
          <w:rFonts w:ascii="Times New Roman" w:eastAsia="Times New Roman" w:hAnsi="Times New Roman" w:cs="Times New Roman"/>
          <w:b w:val="0"/>
          <w:bCs/>
          <w:sz w:val="22"/>
          <w:szCs w:val="22"/>
          <w:lang w:val="es-CO"/>
        </w:rPr>
        <w:t>Similitudes:</w:t>
      </w:r>
    </w:p>
    <w:p w14:paraId="00571B77" w14:textId="77777777" w:rsidR="00AA38E4" w:rsidRPr="00876343" w:rsidRDefault="00F77753" w:rsidP="00434BB6">
      <w:pPr>
        <w:shd w:val="clear" w:color="auto" w:fill="FFFFFF"/>
        <w:spacing w:before="240" w:after="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Período temporal: Ambas tablas presentan datos para años consecutivos, lo que permite hacer comparaciones </w:t>
      </w:r>
      <w:proofErr w:type="spellStart"/>
      <w:r w:rsidRPr="00876343">
        <w:rPr>
          <w:rFonts w:ascii="Times New Roman" w:eastAsia="Times New Roman" w:hAnsi="Times New Roman" w:cs="Times New Roman"/>
          <w:lang w:val="es-CO"/>
        </w:rPr>
        <w:t>intertemporales</w:t>
      </w:r>
      <w:proofErr w:type="spellEnd"/>
      <w:r w:rsidRPr="00876343">
        <w:rPr>
          <w:rFonts w:ascii="Times New Roman" w:eastAsia="Times New Roman" w:hAnsi="Times New Roman" w:cs="Times New Roman"/>
          <w:lang w:val="es-CO"/>
        </w:rPr>
        <w:t>.</w:t>
      </w:r>
      <w:r w:rsidRPr="00876343">
        <w:rPr>
          <w:rFonts w:ascii="Times New Roman" w:eastAsia="Times New Roman" w:hAnsi="Times New Roman" w:cs="Times New Roman"/>
          <w:lang w:val="es-CO"/>
        </w:rPr>
        <w:br/>
      </w:r>
    </w:p>
    <w:p w14:paraId="28C54D85" w14:textId="77777777" w:rsidR="00AA38E4" w:rsidRPr="00876343" w:rsidRDefault="00F77753" w:rsidP="00434BB6">
      <w:pPr>
        <w:shd w:val="clear" w:color="auto" w:fill="FFFFFF"/>
        <w:spacing w:after="24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Regiones analizadas: Ambas </w:t>
      </w:r>
      <w:r w:rsidRPr="00876343">
        <w:rPr>
          <w:rFonts w:ascii="Times New Roman" w:eastAsia="Times New Roman" w:hAnsi="Times New Roman" w:cs="Times New Roman"/>
          <w:lang w:val="es-CO"/>
        </w:rPr>
        <w:t xml:space="preserve">incluyen información para diversas regiones del mundo, como East Asia &amp; </w:t>
      </w:r>
      <w:proofErr w:type="spellStart"/>
      <w:r w:rsidRPr="00876343">
        <w:rPr>
          <w:rFonts w:ascii="Times New Roman" w:eastAsia="Times New Roman" w:hAnsi="Times New Roman" w:cs="Times New Roman"/>
          <w:lang w:val="es-CO"/>
        </w:rPr>
        <w:t>Pacific</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Europe</w:t>
      </w:r>
      <w:proofErr w:type="spellEnd"/>
      <w:r w:rsidRPr="00876343">
        <w:rPr>
          <w:rFonts w:ascii="Times New Roman" w:eastAsia="Times New Roman" w:hAnsi="Times New Roman" w:cs="Times New Roman"/>
          <w:lang w:val="es-CO"/>
        </w:rPr>
        <w:t xml:space="preserve"> &amp; Central Asia, </w:t>
      </w:r>
      <w:proofErr w:type="spellStart"/>
      <w:r w:rsidRPr="00876343">
        <w:rPr>
          <w:rFonts w:ascii="Times New Roman" w:eastAsia="Times New Roman" w:hAnsi="Times New Roman" w:cs="Times New Roman"/>
          <w:lang w:val="es-CO"/>
        </w:rPr>
        <w:t>Latin</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America</w:t>
      </w:r>
      <w:proofErr w:type="spellEnd"/>
      <w:r w:rsidRPr="00876343">
        <w:rPr>
          <w:rFonts w:ascii="Times New Roman" w:eastAsia="Times New Roman" w:hAnsi="Times New Roman" w:cs="Times New Roman"/>
          <w:lang w:val="es-CO"/>
        </w:rPr>
        <w:t xml:space="preserve"> &amp; </w:t>
      </w:r>
      <w:proofErr w:type="spellStart"/>
      <w:r w:rsidRPr="00876343">
        <w:rPr>
          <w:rFonts w:ascii="Times New Roman" w:eastAsia="Times New Roman" w:hAnsi="Times New Roman" w:cs="Times New Roman"/>
          <w:lang w:val="es-CO"/>
        </w:rPr>
        <w:t>Caribbean</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Middle</w:t>
      </w:r>
      <w:proofErr w:type="spellEnd"/>
      <w:r w:rsidRPr="00876343">
        <w:rPr>
          <w:rFonts w:ascii="Times New Roman" w:eastAsia="Times New Roman" w:hAnsi="Times New Roman" w:cs="Times New Roman"/>
          <w:lang w:val="es-CO"/>
        </w:rPr>
        <w:t xml:space="preserve"> East &amp; North </w:t>
      </w:r>
      <w:proofErr w:type="spellStart"/>
      <w:r w:rsidRPr="00876343">
        <w:rPr>
          <w:rFonts w:ascii="Times New Roman" w:eastAsia="Times New Roman" w:hAnsi="Times New Roman" w:cs="Times New Roman"/>
          <w:lang w:val="es-CO"/>
        </w:rPr>
        <w:t>Africa</w:t>
      </w:r>
      <w:proofErr w:type="spellEnd"/>
      <w:r w:rsidRPr="00876343">
        <w:rPr>
          <w:rFonts w:ascii="Times New Roman" w:eastAsia="Times New Roman" w:hAnsi="Times New Roman" w:cs="Times New Roman"/>
          <w:lang w:val="es-CO"/>
        </w:rPr>
        <w:t>, South Asia y Sub-</w:t>
      </w:r>
      <w:proofErr w:type="spellStart"/>
      <w:r w:rsidRPr="00876343">
        <w:rPr>
          <w:rFonts w:ascii="Times New Roman" w:eastAsia="Times New Roman" w:hAnsi="Times New Roman" w:cs="Times New Roman"/>
          <w:lang w:val="es-CO"/>
        </w:rPr>
        <w:t>Saharan</w:t>
      </w:r>
      <w:proofErr w:type="spellEnd"/>
      <w:r w:rsidRPr="00876343">
        <w:rPr>
          <w:rFonts w:ascii="Times New Roman" w:eastAsia="Times New Roman" w:hAnsi="Times New Roman" w:cs="Times New Roman"/>
          <w:lang w:val="es-CO"/>
        </w:rPr>
        <w:t xml:space="preserve"> </w:t>
      </w:r>
      <w:proofErr w:type="spellStart"/>
      <w:r w:rsidRPr="00876343">
        <w:rPr>
          <w:rFonts w:ascii="Times New Roman" w:eastAsia="Times New Roman" w:hAnsi="Times New Roman" w:cs="Times New Roman"/>
          <w:lang w:val="es-CO"/>
        </w:rPr>
        <w:t>Africa</w:t>
      </w:r>
      <w:proofErr w:type="spellEnd"/>
      <w:r w:rsidRPr="00876343">
        <w:rPr>
          <w:rFonts w:ascii="Times New Roman" w:eastAsia="Times New Roman" w:hAnsi="Times New Roman" w:cs="Times New Roman"/>
          <w:lang w:val="es-CO"/>
        </w:rPr>
        <w:t>.</w:t>
      </w:r>
      <w:r w:rsidRPr="00876343">
        <w:rPr>
          <w:rFonts w:ascii="Times New Roman" w:eastAsia="Times New Roman" w:hAnsi="Times New Roman" w:cs="Times New Roman"/>
          <w:lang w:val="es-CO"/>
        </w:rPr>
        <w:br/>
      </w:r>
    </w:p>
    <w:p w14:paraId="343B9E04" w14:textId="77777777" w:rsidR="00AA38E4" w:rsidRPr="00434BB6" w:rsidRDefault="00F77753">
      <w:pPr>
        <w:pStyle w:val="Ttulo3"/>
        <w:keepNext w:val="0"/>
        <w:keepLines w:val="0"/>
        <w:spacing w:line="276" w:lineRule="auto"/>
        <w:jc w:val="both"/>
        <w:rPr>
          <w:rFonts w:ascii="Times New Roman" w:eastAsia="Times New Roman" w:hAnsi="Times New Roman" w:cs="Times New Roman"/>
          <w:b w:val="0"/>
          <w:bCs/>
          <w:sz w:val="22"/>
          <w:szCs w:val="22"/>
        </w:rPr>
      </w:pPr>
      <w:bookmarkStart w:id="1" w:name="_heading=h.xivvto2qzc06" w:colFirst="0" w:colLast="0"/>
      <w:bookmarkEnd w:id="1"/>
      <w:r w:rsidRPr="00876343">
        <w:rPr>
          <w:rFonts w:ascii="Times New Roman" w:eastAsia="Times New Roman" w:hAnsi="Times New Roman" w:cs="Times New Roman"/>
          <w:sz w:val="22"/>
          <w:szCs w:val="22"/>
          <w:lang w:val="es-CO"/>
        </w:rPr>
        <w:t xml:space="preserve">          </w:t>
      </w:r>
      <w:proofErr w:type="spellStart"/>
      <w:r w:rsidRPr="00434BB6">
        <w:rPr>
          <w:rFonts w:ascii="Times New Roman" w:eastAsia="Times New Roman" w:hAnsi="Times New Roman" w:cs="Times New Roman"/>
          <w:b w:val="0"/>
          <w:bCs/>
          <w:sz w:val="22"/>
          <w:szCs w:val="22"/>
        </w:rPr>
        <w:t>Diferencias</w:t>
      </w:r>
      <w:proofErr w:type="spellEnd"/>
      <w:r w:rsidRPr="00434BB6">
        <w:rPr>
          <w:rFonts w:ascii="Times New Roman" w:eastAsia="Times New Roman" w:hAnsi="Times New Roman" w:cs="Times New Roman"/>
          <w:b w:val="0"/>
          <w:bCs/>
          <w:sz w:val="22"/>
          <w:szCs w:val="22"/>
        </w:rPr>
        <w:t>:</w:t>
      </w:r>
    </w:p>
    <w:p w14:paraId="6E29D83E" w14:textId="77777777" w:rsidR="00AA38E4" w:rsidRPr="00876343" w:rsidRDefault="00F77753">
      <w:pPr>
        <w:numPr>
          <w:ilvl w:val="0"/>
          <w:numId w:val="3"/>
        </w:numPr>
        <w:spacing w:before="240" w:after="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Cuentas bancarias por cada 1000 adultos</w:t>
      </w:r>
      <w:r w:rsidRPr="00876343">
        <w:rPr>
          <w:rFonts w:ascii="Times New Roman" w:eastAsia="Times New Roman" w:hAnsi="Times New Roman" w:cs="Times New Roman"/>
          <w:lang w:val="es-CO"/>
        </w:rPr>
        <w:br/>
      </w:r>
    </w:p>
    <w:p w14:paraId="5659A5BA" w14:textId="77777777" w:rsidR="00AA38E4" w:rsidRPr="00876343" w:rsidRDefault="00F77753" w:rsidP="00434BB6">
      <w:pPr>
        <w:spacing w:after="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En Europa y Asia Central, los valores se encuentran en el rango de 637 a 1525 cuentas por cada 1000 adultos, lo que indica una alta penetración de los servicios bancarios.</w:t>
      </w:r>
      <w:r w:rsidRPr="00876343">
        <w:rPr>
          <w:rFonts w:ascii="Times New Roman" w:eastAsia="Times New Roman" w:hAnsi="Times New Roman" w:cs="Times New Roman"/>
          <w:lang w:val="es-CO"/>
        </w:rPr>
        <w:br/>
      </w:r>
    </w:p>
    <w:p w14:paraId="4837BD4B" w14:textId="77777777" w:rsidR="00AA38E4" w:rsidRPr="00876343" w:rsidRDefault="00F77753" w:rsidP="00434BB6">
      <w:pPr>
        <w:spacing w:after="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En contraste, en África Subsahariana, los valores son considerablemente más bajos,</w:t>
      </w:r>
      <w:r w:rsidRPr="00876343">
        <w:rPr>
          <w:rFonts w:ascii="Times New Roman" w:eastAsia="Times New Roman" w:hAnsi="Times New Roman" w:cs="Times New Roman"/>
          <w:lang w:val="es-CO"/>
        </w:rPr>
        <w:t xml:space="preserve"> con cifras cercanas a 20-30 cuentas por cada 1000 adultos. Esto sugiere que una gran parte de la población adulta en África no tiene acceso al sistema bancario formal.</w:t>
      </w:r>
      <w:r w:rsidRPr="00876343">
        <w:rPr>
          <w:rFonts w:ascii="Times New Roman" w:eastAsia="Times New Roman" w:hAnsi="Times New Roman" w:cs="Times New Roman"/>
          <w:lang w:val="es-CO"/>
        </w:rPr>
        <w:br/>
      </w:r>
    </w:p>
    <w:p w14:paraId="1D65AF3B" w14:textId="77777777" w:rsidR="00AA38E4" w:rsidRDefault="00F77753">
      <w:pPr>
        <w:numPr>
          <w:ilvl w:val="0"/>
          <w:numId w:val="3"/>
        </w:numPr>
        <w:spacing w:after="0" w:line="276" w:lineRule="auto"/>
        <w:rPr>
          <w:rFonts w:ascii="Times New Roman" w:eastAsia="Times New Roman" w:hAnsi="Times New Roman" w:cs="Times New Roman"/>
        </w:rPr>
      </w:pPr>
      <w:proofErr w:type="spellStart"/>
      <w:r>
        <w:rPr>
          <w:rFonts w:ascii="Times New Roman" w:eastAsia="Times New Roman" w:hAnsi="Times New Roman" w:cs="Times New Roman"/>
        </w:rPr>
        <w:t>Activos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bancarios</w:t>
      </w:r>
      <w:proofErr w:type="spellEnd"/>
      <w:r>
        <w:rPr>
          <w:rFonts w:ascii="Times New Roman" w:eastAsia="Times New Roman" w:hAnsi="Times New Roman" w:cs="Times New Roman"/>
        </w:rPr>
        <w:br/>
      </w:r>
    </w:p>
    <w:p w14:paraId="61001AC3" w14:textId="77777777" w:rsidR="00AA38E4" w:rsidRPr="00876343" w:rsidRDefault="00F77753">
      <w:pPr>
        <w:numPr>
          <w:ilvl w:val="1"/>
          <w:numId w:val="3"/>
        </w:numPr>
        <w:spacing w:after="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En Europa y Asia Central, los valores también son más altos en comp</w:t>
      </w:r>
      <w:r w:rsidRPr="00876343">
        <w:rPr>
          <w:rFonts w:ascii="Times New Roman" w:eastAsia="Times New Roman" w:hAnsi="Times New Roman" w:cs="Times New Roman"/>
          <w:lang w:val="es-CO"/>
        </w:rPr>
        <w:t>aración con otras regiones, alcanzando cifras cercanas a 87 en 2014.</w:t>
      </w:r>
      <w:r w:rsidRPr="00876343">
        <w:rPr>
          <w:rFonts w:ascii="Times New Roman" w:eastAsia="Times New Roman" w:hAnsi="Times New Roman" w:cs="Times New Roman"/>
          <w:lang w:val="es-CO"/>
        </w:rPr>
        <w:br/>
      </w:r>
    </w:p>
    <w:p w14:paraId="5C0F8ABF" w14:textId="77777777" w:rsidR="00AA38E4" w:rsidRPr="00876343" w:rsidRDefault="00F77753">
      <w:pPr>
        <w:numPr>
          <w:ilvl w:val="1"/>
          <w:numId w:val="3"/>
        </w:numPr>
        <w:spacing w:after="240" w:line="276" w:lineRule="auto"/>
        <w:rPr>
          <w:rFonts w:ascii="Times New Roman" w:eastAsia="Times New Roman" w:hAnsi="Times New Roman" w:cs="Times New Roman"/>
          <w:lang w:val="es-CO"/>
        </w:rPr>
      </w:pPr>
      <w:r w:rsidRPr="00876343">
        <w:rPr>
          <w:rFonts w:ascii="Times New Roman" w:eastAsia="Times New Roman" w:hAnsi="Times New Roman" w:cs="Times New Roman"/>
          <w:lang w:val="es-CO"/>
        </w:rPr>
        <w:t>En África Subsahariana, los activos bancarios son notablemente menores, con valores en el rango de 20 a 29, lo que sugiere un menor desarrollo del sector financiero.</w:t>
      </w:r>
      <w:r w:rsidRPr="00876343">
        <w:rPr>
          <w:rFonts w:ascii="Times New Roman" w:eastAsia="Times New Roman" w:hAnsi="Times New Roman" w:cs="Times New Roman"/>
          <w:lang w:val="es-CO"/>
        </w:rPr>
        <w:br/>
      </w:r>
    </w:p>
    <w:p w14:paraId="5B4AAE68" w14:textId="77777777" w:rsidR="00AA38E4" w:rsidRDefault="00F77753">
      <w:pPr>
        <w:pStyle w:val="Ttulo3"/>
        <w:keepNext w:val="0"/>
        <w:keepLines w:val="0"/>
        <w:spacing w:line="276" w:lineRule="auto"/>
        <w:jc w:val="both"/>
        <w:rPr>
          <w:rFonts w:ascii="Times New Roman" w:eastAsia="Times New Roman" w:hAnsi="Times New Roman" w:cs="Times New Roman"/>
          <w:b w:val="0"/>
          <w:sz w:val="22"/>
          <w:szCs w:val="22"/>
        </w:rPr>
      </w:pPr>
      <w:bookmarkStart w:id="2" w:name="_heading=h.y4njueeuzofy" w:colFirst="0" w:colLast="0"/>
      <w:bookmarkEnd w:id="2"/>
      <w:proofErr w:type="spellStart"/>
      <w:r>
        <w:rPr>
          <w:rFonts w:ascii="Times New Roman" w:eastAsia="Times New Roman" w:hAnsi="Times New Roman" w:cs="Times New Roman"/>
          <w:b w:val="0"/>
          <w:sz w:val="22"/>
          <w:szCs w:val="22"/>
        </w:rPr>
        <w:t>Posibles</w:t>
      </w:r>
      <w:proofErr w:type="spellEnd"/>
      <w:r>
        <w:rPr>
          <w:rFonts w:ascii="Times New Roman" w:eastAsia="Times New Roman" w:hAnsi="Times New Roman" w:cs="Times New Roman"/>
          <w:b w:val="0"/>
          <w:sz w:val="22"/>
          <w:szCs w:val="22"/>
        </w:rPr>
        <w:t xml:space="preserve"> </w:t>
      </w:r>
      <w:proofErr w:type="spellStart"/>
      <w:r>
        <w:rPr>
          <w:rFonts w:ascii="Times New Roman" w:eastAsia="Times New Roman" w:hAnsi="Times New Roman" w:cs="Times New Roman"/>
          <w:b w:val="0"/>
          <w:sz w:val="22"/>
          <w:szCs w:val="22"/>
        </w:rPr>
        <w:t>Explicacio</w:t>
      </w:r>
      <w:r>
        <w:rPr>
          <w:rFonts w:ascii="Times New Roman" w:eastAsia="Times New Roman" w:hAnsi="Times New Roman" w:cs="Times New Roman"/>
          <w:b w:val="0"/>
          <w:sz w:val="22"/>
          <w:szCs w:val="22"/>
        </w:rPr>
        <w:t>nes</w:t>
      </w:r>
      <w:proofErr w:type="spellEnd"/>
      <w:r>
        <w:rPr>
          <w:rFonts w:ascii="Times New Roman" w:eastAsia="Times New Roman" w:hAnsi="Times New Roman" w:cs="Times New Roman"/>
          <w:b w:val="0"/>
          <w:sz w:val="22"/>
          <w:szCs w:val="22"/>
        </w:rPr>
        <w:t>:</w:t>
      </w:r>
    </w:p>
    <w:p w14:paraId="5B11B0A2" w14:textId="77777777" w:rsidR="00AA38E4" w:rsidRPr="00876343" w:rsidRDefault="00F77753">
      <w:pPr>
        <w:numPr>
          <w:ilvl w:val="0"/>
          <w:numId w:val="2"/>
        </w:numPr>
        <w:spacing w:before="240" w:after="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lastRenderedPageBreak/>
        <w:t>Desarrollo económico: Europa tiene una mayor bancarización debido a economías más fuertes y sistemas financieros más desarrollados, mientras que África enfrenta desafíos como infraestructura limitada y menor confianza en los bancos.</w:t>
      </w:r>
      <w:r w:rsidRPr="00876343">
        <w:rPr>
          <w:rFonts w:ascii="Times New Roman" w:eastAsia="Times New Roman" w:hAnsi="Times New Roman" w:cs="Times New Roman"/>
          <w:lang w:val="es-CO"/>
        </w:rPr>
        <w:br/>
      </w:r>
    </w:p>
    <w:p w14:paraId="50B2236C" w14:textId="77777777" w:rsidR="00AA38E4" w:rsidRPr="00876343" w:rsidRDefault="00F77753">
      <w:pPr>
        <w:numPr>
          <w:ilvl w:val="0"/>
          <w:numId w:val="2"/>
        </w:numPr>
        <w:spacing w:after="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Acceso a </w:t>
      </w:r>
      <w:r w:rsidRPr="00876343">
        <w:rPr>
          <w:rFonts w:ascii="Times New Roman" w:eastAsia="Times New Roman" w:hAnsi="Times New Roman" w:cs="Times New Roman"/>
          <w:lang w:val="es-CO"/>
        </w:rPr>
        <w:t>servicios financieros: En regiones con menor desarrollo financiero, muchas personas dependen de métodos informales de ahorro y crédito, como cooperativas o redes comunitarias, en lugar de cuentas bancarias.</w:t>
      </w:r>
      <w:r w:rsidRPr="00876343">
        <w:rPr>
          <w:rFonts w:ascii="Times New Roman" w:eastAsia="Times New Roman" w:hAnsi="Times New Roman" w:cs="Times New Roman"/>
          <w:lang w:val="es-CO"/>
        </w:rPr>
        <w:br/>
      </w:r>
    </w:p>
    <w:p w14:paraId="5D05C7A4" w14:textId="77777777" w:rsidR="00AA38E4" w:rsidRPr="00876343" w:rsidRDefault="00F77753">
      <w:pPr>
        <w:numPr>
          <w:ilvl w:val="0"/>
          <w:numId w:val="2"/>
        </w:numPr>
        <w:spacing w:after="240"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 xml:space="preserve">Regulación y estabilidad: En Europa, hay marcos </w:t>
      </w:r>
      <w:r w:rsidRPr="00876343">
        <w:rPr>
          <w:rFonts w:ascii="Times New Roman" w:eastAsia="Times New Roman" w:hAnsi="Times New Roman" w:cs="Times New Roman"/>
          <w:lang w:val="es-CO"/>
        </w:rPr>
        <w:t>regulatorios sólidos que fomentan la inclusión financiera, mientras que en algunas regiones africanas la inestabilidad política y económica puede limitar la expansión del sistema bancario.</w:t>
      </w:r>
      <w:r w:rsidRPr="00876343">
        <w:rPr>
          <w:rFonts w:ascii="Times New Roman" w:eastAsia="Times New Roman" w:hAnsi="Times New Roman" w:cs="Times New Roman"/>
          <w:lang w:val="es-CO"/>
        </w:rPr>
        <w:br/>
      </w:r>
    </w:p>
    <w:p w14:paraId="4D1B29C0" w14:textId="77777777" w:rsidR="00AA38E4" w:rsidRPr="00876343" w:rsidRDefault="00F77753">
      <w:pPr>
        <w:spacing w:before="240" w:after="240" w:line="276" w:lineRule="auto"/>
        <w:jc w:val="both"/>
        <w:rPr>
          <w:rFonts w:ascii="Times New Roman" w:eastAsia="Times New Roman" w:hAnsi="Times New Roman" w:cs="Times New Roman"/>
          <w:lang w:val="es-CO"/>
        </w:rPr>
      </w:pPr>
      <w:bookmarkStart w:id="3" w:name="_heading=h.cbb0i5y1depw" w:colFirst="0" w:colLast="0"/>
      <w:bookmarkEnd w:id="3"/>
      <w:r w:rsidRPr="00876343">
        <w:rPr>
          <w:rFonts w:ascii="Times New Roman" w:eastAsia="Times New Roman" w:hAnsi="Times New Roman" w:cs="Times New Roman"/>
          <w:lang w:val="es-CO"/>
        </w:rPr>
        <w:t xml:space="preserve">Los datos muestran una clara brecha financiera entre las regiones </w:t>
      </w:r>
      <w:r w:rsidRPr="00876343">
        <w:rPr>
          <w:rFonts w:ascii="Times New Roman" w:eastAsia="Times New Roman" w:hAnsi="Times New Roman" w:cs="Times New Roman"/>
          <w:lang w:val="es-CO"/>
        </w:rPr>
        <w:t xml:space="preserve">más desarrolladas, como Europa y Asia Central, y las menos desarrolladas, como África Subsahariana. Estas diferencias en cuentas bancarias y activos bancarios reflejan desigualdades económicas más amplias y destacan la importancia de promover la inclusión </w:t>
      </w:r>
      <w:r w:rsidRPr="00876343">
        <w:rPr>
          <w:rFonts w:ascii="Times New Roman" w:eastAsia="Times New Roman" w:hAnsi="Times New Roman" w:cs="Times New Roman"/>
          <w:lang w:val="es-CO"/>
        </w:rPr>
        <w:t>financiera en regiones con menor acceso a la banca formal.</w:t>
      </w:r>
    </w:p>
    <w:p w14:paraId="261D7874" w14:textId="77777777" w:rsidR="00AA38E4" w:rsidRPr="00876343" w:rsidRDefault="00AA38E4">
      <w:pPr>
        <w:pBdr>
          <w:top w:val="nil"/>
          <w:left w:val="nil"/>
          <w:bottom w:val="nil"/>
          <w:right w:val="nil"/>
          <w:between w:val="nil"/>
        </w:pBdr>
        <w:spacing w:line="276" w:lineRule="auto"/>
        <w:ind w:left="720"/>
        <w:jc w:val="both"/>
        <w:rPr>
          <w:rFonts w:ascii="Times New Roman" w:eastAsia="Times New Roman" w:hAnsi="Times New Roman" w:cs="Times New Roman"/>
          <w:lang w:val="es-CO"/>
        </w:rPr>
      </w:pPr>
    </w:p>
    <w:p w14:paraId="53A2BB7A" w14:textId="77777777" w:rsidR="00AA38E4" w:rsidRPr="00876343" w:rsidRDefault="00AA38E4">
      <w:pPr>
        <w:spacing w:line="276" w:lineRule="auto"/>
        <w:jc w:val="both"/>
        <w:rPr>
          <w:rFonts w:ascii="Times New Roman" w:eastAsia="Times New Roman" w:hAnsi="Times New Roman" w:cs="Times New Roman"/>
          <w:lang w:val="es-CO"/>
        </w:rPr>
      </w:pPr>
    </w:p>
    <w:p w14:paraId="24FF2026" w14:textId="77777777" w:rsidR="00AA38E4" w:rsidRDefault="00F77753">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P10.1.5. Using </w:t>
      </w:r>
      <w:proofErr w:type="spellStart"/>
      <w:r>
        <w:rPr>
          <w:rFonts w:ascii="Times New Roman" w:eastAsia="Times New Roman" w:hAnsi="Times New Roman" w:cs="Times New Roman"/>
        </w:rPr>
        <w:t>Winsorization</w:t>
      </w:r>
      <w:proofErr w:type="spellEnd"/>
      <w:r>
        <w:rPr>
          <w:rFonts w:ascii="Times New Roman" w:eastAsia="Times New Roman" w:hAnsi="Times New Roman" w:cs="Times New Roman"/>
        </w:rPr>
        <w:t xml:space="preserve"> to handle extreme values. For an indicator you have used in Questions 3 and 4 and for the year 2010:</w:t>
      </w:r>
    </w:p>
    <w:p w14:paraId="6A8109B3" w14:textId="77777777" w:rsidR="00AA38E4" w:rsidRDefault="00F77753">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Calculate the 95th and 5th percentile value of that indicator, ac</w:t>
      </w:r>
      <w:r>
        <w:rPr>
          <w:rFonts w:ascii="Times New Roman" w:eastAsia="Times New Roman" w:hAnsi="Times New Roman" w:cs="Times New Roman"/>
          <w:color w:val="000000"/>
        </w:rPr>
        <w:t>ross all countries. (Hint: Use Excel’s PERCENTILE.INC function.)</w:t>
      </w:r>
    </w:p>
    <w:p w14:paraId="735E0532" w14:textId="77777777" w:rsidR="00AA38E4" w:rsidRDefault="00F77753">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Replace any value larger than the 95th percentile value with the 95th percentile </w:t>
      </w:r>
      <w:proofErr w:type="gramStart"/>
      <w:r>
        <w:rPr>
          <w:rFonts w:ascii="Times New Roman" w:eastAsia="Times New Roman" w:hAnsi="Times New Roman" w:cs="Times New Roman"/>
          <w:color w:val="000000"/>
        </w:rPr>
        <w:t>value, and</w:t>
      </w:r>
      <w:proofErr w:type="gramEnd"/>
      <w:r>
        <w:rPr>
          <w:rFonts w:ascii="Times New Roman" w:eastAsia="Times New Roman" w:hAnsi="Times New Roman" w:cs="Times New Roman"/>
          <w:color w:val="000000"/>
        </w:rPr>
        <w:t xml:space="preserve"> replace any value smaller than the 5th percentile value with the 5th percentile value. (Hint: </w:t>
      </w:r>
      <w:r>
        <w:rPr>
          <w:rFonts w:ascii="Times New Roman" w:eastAsia="Times New Roman" w:hAnsi="Times New Roman" w:cs="Times New Roman"/>
          <w:color w:val="000000"/>
        </w:rPr>
        <w:t>Use Excel’s IF function.)</w:t>
      </w:r>
    </w:p>
    <w:p w14:paraId="78FA41F3" w14:textId="77777777" w:rsidR="00AA38E4" w:rsidRDefault="00F77753">
      <w:pPr>
        <w:numPr>
          <w:ilvl w:val="0"/>
          <w:numId w:val="6"/>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Use your ‘</w:t>
      </w:r>
      <w:proofErr w:type="spellStart"/>
      <w:r>
        <w:rPr>
          <w:rFonts w:ascii="Times New Roman" w:eastAsia="Times New Roman" w:hAnsi="Times New Roman" w:cs="Times New Roman"/>
          <w:color w:val="000000"/>
        </w:rPr>
        <w:t>Winsorized</w:t>
      </w:r>
      <w:proofErr w:type="spellEnd"/>
      <w:r>
        <w:rPr>
          <w:rFonts w:ascii="Times New Roman" w:eastAsia="Times New Roman" w:hAnsi="Times New Roman" w:cs="Times New Roman"/>
          <w:color w:val="000000"/>
        </w:rPr>
        <w:t xml:space="preserve">’ values from Question 5(b) to calculate the average values of the indicator, by region and income group (separately). </w:t>
      </w:r>
      <w:r>
        <w:rPr>
          <w:rFonts w:ascii="Times New Roman" w:eastAsia="Times New Roman" w:hAnsi="Times New Roman" w:cs="Times New Roman"/>
          <w:b/>
          <w:color w:val="000000"/>
        </w:rPr>
        <w:t>Compare these values to the simple averages from Question 3(a)</w:t>
      </w:r>
      <w:r>
        <w:rPr>
          <w:rFonts w:ascii="Times New Roman" w:eastAsia="Times New Roman" w:hAnsi="Times New Roman" w:cs="Times New Roman"/>
          <w:color w:val="000000"/>
        </w:rPr>
        <w:t>.</w:t>
      </w:r>
    </w:p>
    <w:p w14:paraId="33C111F8" w14:textId="77777777" w:rsidR="00AA38E4" w:rsidRDefault="00AA38E4">
      <w:pPr>
        <w:pBdr>
          <w:top w:val="nil"/>
          <w:left w:val="nil"/>
          <w:bottom w:val="nil"/>
          <w:right w:val="nil"/>
          <w:between w:val="nil"/>
        </w:pBdr>
        <w:spacing w:line="276" w:lineRule="auto"/>
        <w:jc w:val="both"/>
        <w:rPr>
          <w:rFonts w:ascii="Times New Roman" w:eastAsia="Times New Roman" w:hAnsi="Times New Roman" w:cs="Times New Roman"/>
        </w:rPr>
      </w:pPr>
    </w:p>
    <w:p w14:paraId="10DB3954" w14:textId="77777777" w:rsidR="00AA38E4" w:rsidRPr="00876343" w:rsidRDefault="00F77753">
      <w:pPr>
        <w:pBdr>
          <w:top w:val="nil"/>
          <w:left w:val="nil"/>
          <w:bottom w:val="nil"/>
          <w:right w:val="nil"/>
          <w:between w:val="nil"/>
        </w:pBdr>
        <w:spacing w:line="276" w:lineRule="auto"/>
        <w:jc w:val="both"/>
        <w:rPr>
          <w:rFonts w:ascii="Times New Roman" w:eastAsia="Times New Roman" w:hAnsi="Times New Roman" w:cs="Times New Roman"/>
          <w:lang w:val="es-CO"/>
        </w:rPr>
      </w:pPr>
      <w:r w:rsidRPr="00876343">
        <w:rPr>
          <w:rFonts w:ascii="Times New Roman" w:eastAsia="Times New Roman" w:hAnsi="Times New Roman" w:cs="Times New Roman"/>
          <w:lang w:val="es-CO"/>
        </w:rPr>
        <w:t>Al realizar los reemplazos de varios valores, por lo</w:t>
      </w:r>
      <w:r w:rsidRPr="00876343">
        <w:rPr>
          <w:rFonts w:ascii="Times New Roman" w:eastAsia="Times New Roman" w:hAnsi="Times New Roman" w:cs="Times New Roman"/>
          <w:lang w:val="es-CO"/>
        </w:rPr>
        <w:t xml:space="preserve"> valores de q5 y q95, el promedio del indicador tiene un incremento en todos los rangos de ingreso, esto se debe a que no se están utilizando los datos reales si no que se han modificado, por lo tanto podría haber un sesgo implícito.</w:t>
      </w:r>
    </w:p>
    <w:p w14:paraId="45330403" w14:textId="77777777" w:rsidR="00AA38E4" w:rsidRPr="00876343" w:rsidRDefault="00AA38E4">
      <w:pPr>
        <w:rPr>
          <w:lang w:val="es-CO"/>
        </w:rPr>
      </w:pPr>
    </w:p>
    <w:p w14:paraId="512DBF48" w14:textId="77777777" w:rsidR="00AA38E4" w:rsidRPr="00876343" w:rsidRDefault="00AA38E4">
      <w:pPr>
        <w:rPr>
          <w:lang w:val="es-CO"/>
        </w:rPr>
      </w:pPr>
    </w:p>
    <w:p w14:paraId="630FFEFA" w14:textId="77777777" w:rsidR="00AA38E4" w:rsidRDefault="00F77753">
      <w:pPr>
        <w:pStyle w:val="Ttulo1"/>
      </w:pPr>
      <w:r>
        <w:lastRenderedPageBreak/>
        <w:t>P10.2. Comparing fin</w:t>
      </w:r>
      <w:r>
        <w:t>ancial stability before and after the 2008 global financial crisis</w:t>
      </w:r>
    </w:p>
    <w:p w14:paraId="77B5A425" w14:textId="77777777" w:rsidR="00AA38E4" w:rsidRDefault="00F77753">
      <w:r>
        <w:t>P10.2.1. For both indicators of stability in Figure 10.1, explain what effect the post-crisis banking regulations are likely to have on the value of the indicator (for example, would the va</w:t>
      </w:r>
      <w:r>
        <w:t xml:space="preserve">lue increase or decrease?), and why. You may find it helpful to research the regulations that were implemented </w:t>
      </w:r>
      <w:proofErr w:type="gramStart"/>
      <w:r>
        <w:t>as a result of</w:t>
      </w:r>
      <w:proofErr w:type="gramEnd"/>
      <w:r>
        <w:t xml:space="preserve"> the 2008 global financial crisis.</w:t>
      </w:r>
    </w:p>
    <w:p w14:paraId="0E670BCB" w14:textId="77777777" w:rsidR="00AA38E4" w:rsidRPr="00876343" w:rsidRDefault="00F77753">
      <w:pPr>
        <w:spacing w:before="240" w:after="240"/>
        <w:rPr>
          <w:lang w:val="es-CO"/>
        </w:rPr>
      </w:pPr>
      <w:r w:rsidRPr="00876343">
        <w:rPr>
          <w:lang w:val="es-CO"/>
        </w:rPr>
        <w:t>Puntuación Z del banco (GFDD.SI.01)</w:t>
      </w:r>
    </w:p>
    <w:p w14:paraId="223C1109" w14:textId="77777777" w:rsidR="00AA38E4" w:rsidRPr="00876343" w:rsidRDefault="00F77753">
      <w:pPr>
        <w:spacing w:before="240" w:after="240"/>
        <w:rPr>
          <w:lang w:val="es-CO"/>
        </w:rPr>
      </w:pPr>
      <w:r w:rsidRPr="00876343">
        <w:rPr>
          <w:lang w:val="es-CO"/>
        </w:rPr>
        <w:t>Efecto esperado: Aumento.</w:t>
      </w:r>
    </w:p>
    <w:p w14:paraId="75665923" w14:textId="77777777" w:rsidR="00AA38E4" w:rsidRPr="00876343" w:rsidRDefault="00F77753">
      <w:pPr>
        <w:spacing w:before="240" w:after="240"/>
        <w:rPr>
          <w:lang w:val="es-CO"/>
        </w:rPr>
      </w:pPr>
      <w:r w:rsidRPr="00876343">
        <w:rPr>
          <w:lang w:val="es-CO"/>
        </w:rPr>
        <w:t xml:space="preserve">Explicación: La puntuación Z mide </w:t>
      </w:r>
      <w:r w:rsidRPr="00876343">
        <w:rPr>
          <w:lang w:val="es-CO"/>
        </w:rPr>
        <w:t>la estabilidad financiera de un banco al relacionar su rentabilidad, apalancamiento y volatilidad de los ingresos. Las reformas regulatorias posteriores a la crisis de 2008, como los requisitos de mayor capital y liquidez (Basilea III), han hecho que los b</w:t>
      </w:r>
      <w:r w:rsidRPr="00876343">
        <w:rPr>
          <w:lang w:val="es-CO"/>
        </w:rPr>
        <w:t>ancos sean más resilientes frente a crisis económicas. Al aumentar el capital de reserva y reducir la asunción excesiva de riesgos, la probabilidad de insolvencia disminuye, lo que eleva la puntuación Z.</w:t>
      </w:r>
      <w:r w:rsidRPr="00876343">
        <w:rPr>
          <w:lang w:val="es-CO"/>
        </w:rPr>
        <w:br/>
      </w:r>
    </w:p>
    <w:p w14:paraId="72768FDE" w14:textId="77777777" w:rsidR="00AA38E4" w:rsidRPr="00876343" w:rsidRDefault="00F77753">
      <w:pPr>
        <w:spacing w:before="240" w:after="240"/>
        <w:rPr>
          <w:lang w:val="es-CO"/>
        </w:rPr>
      </w:pPr>
      <w:r w:rsidRPr="00876343">
        <w:rPr>
          <w:lang w:val="es-CO"/>
        </w:rPr>
        <w:t>Capital regulatorio bancario sobre activos ponderad</w:t>
      </w:r>
      <w:r w:rsidRPr="00876343">
        <w:rPr>
          <w:lang w:val="es-CO"/>
        </w:rPr>
        <w:t>os por riesgo (%) (GFDD.SI.05)</w:t>
      </w:r>
    </w:p>
    <w:p w14:paraId="497A371A" w14:textId="77777777" w:rsidR="00AA38E4" w:rsidRPr="00876343" w:rsidRDefault="00F77753">
      <w:pPr>
        <w:spacing w:before="240" w:after="240"/>
        <w:rPr>
          <w:lang w:val="es-CO"/>
        </w:rPr>
      </w:pPr>
      <w:r w:rsidRPr="00876343">
        <w:rPr>
          <w:lang w:val="es-CO"/>
        </w:rPr>
        <w:t>Efecto esperado: Aumento.</w:t>
      </w:r>
    </w:p>
    <w:p w14:paraId="70A0B93C" w14:textId="77777777" w:rsidR="00AA38E4" w:rsidRPr="00876343" w:rsidRDefault="00F77753">
      <w:pPr>
        <w:spacing w:before="240" w:after="240"/>
        <w:rPr>
          <w:lang w:val="es-CO"/>
        </w:rPr>
      </w:pPr>
      <w:r w:rsidRPr="00876343">
        <w:rPr>
          <w:lang w:val="es-CO"/>
        </w:rPr>
        <w:t>Explicación: Basilea III impuso requisitos más estrictos sobre el capital regulatorio, exigiendo a los bancos mantener mayores niveles de capital de alta calidad en relación con sus activos ponderado</w:t>
      </w:r>
      <w:r w:rsidRPr="00876343">
        <w:rPr>
          <w:lang w:val="es-CO"/>
        </w:rPr>
        <w:t>s por riesgo. Esto significa que los bancos deben tener más capital propio para cubrir posibles pérdidas, lo que eleva este indicador con el tiempo.</w:t>
      </w:r>
      <w:r w:rsidRPr="00876343">
        <w:rPr>
          <w:lang w:val="es-CO"/>
        </w:rPr>
        <w:br/>
      </w:r>
    </w:p>
    <w:p w14:paraId="60EF1600" w14:textId="77777777" w:rsidR="00AA38E4" w:rsidRPr="00876343" w:rsidRDefault="00F77753">
      <w:pPr>
        <w:spacing w:before="240" w:after="240"/>
        <w:rPr>
          <w:lang w:val="es-CO"/>
        </w:rPr>
      </w:pPr>
      <w:r w:rsidRPr="00876343">
        <w:rPr>
          <w:lang w:val="es-CO"/>
        </w:rPr>
        <w:t>En resumen, las regulaciones bancarias posteriores a la crisis de 2008 han reforzado la estabilidad del si</w:t>
      </w:r>
      <w:r w:rsidRPr="00876343">
        <w:rPr>
          <w:lang w:val="es-CO"/>
        </w:rPr>
        <w:t>stema financiero al exigir mayores reservas de capital y mejores prácticas de gestión de riesgos, lo que se traduce en un aumento de ambos indicadores de estabilidad bancaria.</w:t>
      </w:r>
    </w:p>
    <w:p w14:paraId="4F2BEAB8" w14:textId="77777777" w:rsidR="00AA38E4" w:rsidRDefault="00F77753">
      <w:r>
        <w:t>P10.2.2. For the years 2007 and 2014:</w:t>
      </w:r>
    </w:p>
    <w:p w14:paraId="62D8842F" w14:textId="77777777" w:rsidR="00AA38E4" w:rsidRDefault="00F77753">
      <w:pPr>
        <w:numPr>
          <w:ilvl w:val="0"/>
          <w:numId w:val="7"/>
        </w:numPr>
        <w:pBdr>
          <w:top w:val="nil"/>
          <w:left w:val="nil"/>
          <w:bottom w:val="nil"/>
          <w:right w:val="nil"/>
          <w:between w:val="nil"/>
        </w:pBdr>
        <w:spacing w:after="0"/>
        <w:rPr>
          <w:color w:val="000000"/>
        </w:rPr>
      </w:pPr>
      <w:r>
        <w:rPr>
          <w:color w:val="000000"/>
        </w:rPr>
        <w:t xml:space="preserve">Use Excel’s PivotTable option to make </w:t>
      </w:r>
      <w:r>
        <w:rPr>
          <w:color w:val="000000"/>
        </w:rPr>
        <w:t>tables showing the average of those indicators, with ‘Region’ or ‘Income Group’ as the row variable(s) and ‘year’ (2000–2014 only) as the column variable. (Make a separate table for region and income group.)</w:t>
      </w:r>
    </w:p>
    <w:p w14:paraId="2753FC22" w14:textId="77777777" w:rsidR="00AA38E4" w:rsidRDefault="00F77753">
      <w:pPr>
        <w:numPr>
          <w:ilvl w:val="0"/>
          <w:numId w:val="7"/>
        </w:numPr>
        <w:pBdr>
          <w:top w:val="nil"/>
          <w:left w:val="nil"/>
          <w:bottom w:val="nil"/>
          <w:right w:val="nil"/>
          <w:between w:val="nil"/>
        </w:pBdr>
        <w:spacing w:after="0"/>
        <w:rPr>
          <w:color w:val="000000"/>
        </w:rPr>
      </w:pPr>
      <w:r>
        <w:rPr>
          <w:color w:val="000000"/>
        </w:rPr>
        <w:t>Add a column showing the difference in means (20</w:t>
      </w:r>
      <w:r>
        <w:rPr>
          <w:color w:val="000000"/>
        </w:rPr>
        <w:t>14 minus 2007).</w:t>
      </w:r>
    </w:p>
    <w:p w14:paraId="5BFC5DE5" w14:textId="77777777" w:rsidR="00AA38E4" w:rsidRDefault="00F77753">
      <w:pPr>
        <w:numPr>
          <w:ilvl w:val="0"/>
          <w:numId w:val="7"/>
        </w:numPr>
        <w:pBdr>
          <w:top w:val="nil"/>
          <w:left w:val="nil"/>
          <w:bottom w:val="nil"/>
          <w:right w:val="nil"/>
          <w:between w:val="nil"/>
        </w:pBdr>
        <w:spacing w:after="0"/>
        <w:rPr>
          <w:color w:val="000000"/>
        </w:rPr>
      </w:pPr>
      <w:r>
        <w:rPr>
          <w:color w:val="000000"/>
        </w:rPr>
        <w:t>Add four extra columns containing the standard deviation and number of observations for each year. Calculate the standard deviation for the difference in means, and the number of observations in both years.</w:t>
      </w:r>
    </w:p>
    <w:p w14:paraId="7BAB0735" w14:textId="77777777" w:rsidR="00AA38E4" w:rsidRDefault="00F77753">
      <w:pPr>
        <w:numPr>
          <w:ilvl w:val="0"/>
          <w:numId w:val="7"/>
        </w:numPr>
        <w:pBdr>
          <w:top w:val="nil"/>
          <w:left w:val="nil"/>
          <w:bottom w:val="nil"/>
          <w:right w:val="nil"/>
          <w:between w:val="nil"/>
        </w:pBdr>
        <w:rPr>
          <w:color w:val="000000"/>
        </w:rPr>
      </w:pPr>
      <w:r>
        <w:rPr>
          <w:color w:val="000000"/>
        </w:rPr>
        <w:t>Use Excel’s CONFIDENCE.T function</w:t>
      </w:r>
      <w:r>
        <w:rPr>
          <w:color w:val="000000"/>
        </w:rPr>
        <w:t xml:space="preserve"> to calculate the 95% confidence interval ‘width’ of the difference in means (the distance from one end of the interval to the mean). (See Part 8.3 of Empirical Project 8 for help on how to do this.)</w:t>
      </w:r>
    </w:p>
    <w:p w14:paraId="6B408778" w14:textId="77777777" w:rsidR="00AA38E4" w:rsidRDefault="00F77753">
      <w:r>
        <w:lastRenderedPageBreak/>
        <w:t>P10.2.3. For each indicator</w:t>
      </w:r>
    </w:p>
    <w:p w14:paraId="2599F351" w14:textId="76AF9BB1" w:rsidR="00AA38E4" w:rsidRDefault="00F77753">
      <w:pPr>
        <w:numPr>
          <w:ilvl w:val="0"/>
          <w:numId w:val="8"/>
        </w:numPr>
        <w:pBdr>
          <w:top w:val="nil"/>
          <w:left w:val="nil"/>
          <w:bottom w:val="nil"/>
          <w:right w:val="nil"/>
          <w:between w:val="nil"/>
        </w:pBdr>
        <w:spacing w:after="0"/>
        <w:rPr>
          <w:color w:val="000000"/>
        </w:rPr>
      </w:pPr>
      <w:r>
        <w:rPr>
          <w:color w:val="000000"/>
        </w:rPr>
        <w:t xml:space="preserve">Plot column charts (one for </w:t>
      </w:r>
      <w:r>
        <w:rPr>
          <w:color w:val="000000"/>
        </w:rPr>
        <w:t>regions, one for income groups) showing the differences on the vertical axis and indicator on the horizontal axis. Add the confidence intervals from Question 2(d) to your charts.</w:t>
      </w:r>
    </w:p>
    <w:p w14:paraId="49F4C551" w14:textId="63CDA070" w:rsidR="00876343" w:rsidRDefault="00F77753" w:rsidP="00876343">
      <w:pPr>
        <w:pBdr>
          <w:top w:val="nil"/>
          <w:left w:val="nil"/>
          <w:bottom w:val="nil"/>
          <w:right w:val="nil"/>
          <w:between w:val="nil"/>
        </w:pBdr>
        <w:spacing w:after="0"/>
        <w:ind w:left="360"/>
        <w:rPr>
          <w:color w:val="000000"/>
        </w:rPr>
      </w:pPr>
      <w:r w:rsidRPr="00F77753">
        <w:rPr>
          <w:color w:val="000000"/>
        </w:rPr>
        <w:drawing>
          <wp:inline distT="0" distB="0" distL="0" distR="0" wp14:anchorId="461A743C" wp14:editId="15CC41B3">
            <wp:extent cx="2800350" cy="1655206"/>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5281" cy="1664031"/>
                    </a:xfrm>
                    <a:prstGeom prst="rect">
                      <a:avLst/>
                    </a:prstGeom>
                  </pic:spPr>
                </pic:pic>
              </a:graphicData>
            </a:graphic>
          </wp:inline>
        </w:drawing>
      </w:r>
      <w:r w:rsidRPr="00F77753">
        <w:rPr>
          <w:color w:val="000000"/>
        </w:rPr>
        <w:drawing>
          <wp:inline distT="0" distB="0" distL="0" distR="0" wp14:anchorId="6290C2D3" wp14:editId="775F0F31">
            <wp:extent cx="2733675" cy="1580406"/>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109" cy="1585860"/>
                    </a:xfrm>
                    <a:prstGeom prst="rect">
                      <a:avLst/>
                    </a:prstGeom>
                  </pic:spPr>
                </pic:pic>
              </a:graphicData>
            </a:graphic>
          </wp:inline>
        </w:drawing>
      </w:r>
    </w:p>
    <w:p w14:paraId="1E18337C" w14:textId="77777777" w:rsidR="00AA38E4" w:rsidRDefault="00F77753">
      <w:pPr>
        <w:numPr>
          <w:ilvl w:val="0"/>
          <w:numId w:val="8"/>
        </w:numPr>
        <w:pBdr>
          <w:top w:val="nil"/>
          <w:left w:val="nil"/>
          <w:bottom w:val="nil"/>
          <w:right w:val="nil"/>
          <w:between w:val="nil"/>
        </w:pBdr>
        <w:rPr>
          <w:color w:val="000000"/>
        </w:rPr>
      </w:pPr>
      <w:r>
        <w:rPr>
          <w:b/>
          <w:color w:val="000000"/>
        </w:rPr>
        <w:t xml:space="preserve">Interpret your findings. Is there evidence that stability has </w:t>
      </w:r>
      <w:r>
        <w:rPr>
          <w:b/>
          <w:color w:val="000000"/>
        </w:rPr>
        <w:t>increased since the 2008 global financial crisis?</w:t>
      </w:r>
      <w:r>
        <w:rPr>
          <w:color w:val="000000"/>
        </w:rPr>
        <w:t xml:space="preserve"> (Note that ‘Bank regulatory capital to risk-weighted assets’ is inversely related to the leverage ratio</w:t>
      </w:r>
      <w:r>
        <w:rPr>
          <w:rFonts w:ascii="Tahoma" w:eastAsia="Tahoma" w:hAnsi="Tahoma" w:cs="Tahoma"/>
          <w:color w:val="000000"/>
        </w:rPr>
        <w:t>⁠</w:t>
      </w:r>
      <w:r>
        <w:rPr>
          <w:color w:val="000000"/>
        </w:rPr>
        <w:t xml:space="preserve">. High leverage ratios were common in the lead-up to the 2008 </w:t>
      </w:r>
      <w:proofErr w:type="gramStart"/>
      <w:r>
        <w:rPr>
          <w:color w:val="000000"/>
        </w:rPr>
        <w:t>crisis, and</w:t>
      </w:r>
      <w:proofErr w:type="gramEnd"/>
      <w:r>
        <w:rPr>
          <w:color w:val="000000"/>
        </w:rPr>
        <w:t xml:space="preserve"> contributed to financial ins</w:t>
      </w:r>
      <w:r>
        <w:rPr>
          <w:color w:val="000000"/>
        </w:rPr>
        <w:t>tability.)</w:t>
      </w:r>
    </w:p>
    <w:p w14:paraId="217BD359" w14:textId="77777777" w:rsidR="00AA38E4" w:rsidRPr="00876343" w:rsidRDefault="00F77753">
      <w:pPr>
        <w:spacing w:before="240" w:after="240"/>
        <w:rPr>
          <w:lang w:val="es-CO"/>
        </w:rPr>
      </w:pPr>
      <w:r w:rsidRPr="00876343">
        <w:rPr>
          <w:lang w:val="es-CO"/>
        </w:rPr>
        <w:t xml:space="preserve">Valores medios positivos: En todas las regiones, la media de la diferencia entre los años 2014 y 2007 es positiva. Esto sugiere que, en promedio, el capital regulatorio sobre activos ponderados por riesgo ha aumentado desde la crisis financiera </w:t>
      </w:r>
      <w:r w:rsidRPr="00876343">
        <w:rPr>
          <w:lang w:val="es-CO"/>
        </w:rPr>
        <w:t>de 2008.</w:t>
      </w:r>
    </w:p>
    <w:p w14:paraId="2667B2C2" w14:textId="77777777" w:rsidR="00AA38E4" w:rsidRPr="00876343" w:rsidRDefault="00F77753">
      <w:pPr>
        <w:spacing w:before="240" w:after="240"/>
        <w:rPr>
          <w:lang w:val="es-CO"/>
        </w:rPr>
      </w:pPr>
      <w:r w:rsidRPr="00876343">
        <w:rPr>
          <w:lang w:val="es-CO"/>
        </w:rPr>
        <w:t xml:space="preserve">Intervalos de confianza: Para cada región, el intervalo de confianza (IC) de la diferencia de medias no incluye valores negativos. Esto indica que el aumento en </w:t>
      </w:r>
      <w:proofErr w:type="spellStart"/>
      <w:proofErr w:type="gramStart"/>
      <w:r w:rsidRPr="00876343">
        <w:rPr>
          <w:lang w:val="es-CO"/>
        </w:rPr>
        <w:t>risk.weighted</w:t>
      </w:r>
      <w:proofErr w:type="gramEnd"/>
      <w:r w:rsidRPr="00876343">
        <w:rPr>
          <w:lang w:val="es-CO"/>
        </w:rPr>
        <w:t>.assets</w:t>
      </w:r>
      <w:proofErr w:type="spellEnd"/>
      <w:r w:rsidRPr="00876343">
        <w:rPr>
          <w:lang w:val="es-CO"/>
        </w:rPr>
        <w:t xml:space="preserve"> es estadísticamente significativo y no producto del azar.</w:t>
      </w:r>
    </w:p>
    <w:p w14:paraId="73418381" w14:textId="77777777" w:rsidR="00AA38E4" w:rsidRPr="00876343" w:rsidRDefault="00F77753">
      <w:pPr>
        <w:spacing w:before="240" w:after="240"/>
        <w:rPr>
          <w:lang w:val="es-CO"/>
        </w:rPr>
      </w:pPr>
      <w:r w:rsidRPr="00876343">
        <w:rPr>
          <w:lang w:val="es-CO"/>
        </w:rPr>
        <w:t>Amplitu</w:t>
      </w:r>
      <w:r w:rsidRPr="00876343">
        <w:rPr>
          <w:lang w:val="es-CO"/>
        </w:rPr>
        <w:t xml:space="preserve">d del IC: La amplitud del intervalo de confianza varía entre regiones, lo que sugiere que el impacto de las regulaciones bancarias </w:t>
      </w:r>
      <w:proofErr w:type="spellStart"/>
      <w:proofErr w:type="gramStart"/>
      <w:r w:rsidRPr="00876343">
        <w:rPr>
          <w:lang w:val="es-CO"/>
        </w:rPr>
        <w:t>post-crisis</w:t>
      </w:r>
      <w:proofErr w:type="spellEnd"/>
      <w:proofErr w:type="gramEnd"/>
      <w:r w:rsidRPr="00876343">
        <w:rPr>
          <w:lang w:val="es-CO"/>
        </w:rPr>
        <w:t xml:space="preserve"> no fue homogéneo en todo el mundo.</w:t>
      </w:r>
      <w:r w:rsidRPr="00876343">
        <w:rPr>
          <w:lang w:val="es-CO"/>
        </w:rPr>
        <w:br/>
      </w:r>
    </w:p>
    <w:p w14:paraId="335EF38F" w14:textId="77777777" w:rsidR="00AA38E4" w:rsidRPr="00876343" w:rsidRDefault="00F77753">
      <w:pPr>
        <w:spacing w:before="240" w:after="240"/>
        <w:rPr>
          <w:lang w:val="es-CO"/>
        </w:rPr>
      </w:pPr>
      <w:r w:rsidRPr="00876343">
        <w:rPr>
          <w:lang w:val="es-CO"/>
        </w:rPr>
        <w:t>Conclusión sobre estabilidad financiera</w:t>
      </w:r>
    </w:p>
    <w:p w14:paraId="5CB28CFD" w14:textId="77777777" w:rsidR="00AA38E4" w:rsidRPr="00876343" w:rsidRDefault="00F77753">
      <w:pPr>
        <w:spacing w:before="240" w:after="240"/>
        <w:rPr>
          <w:lang w:val="es-CO"/>
        </w:rPr>
      </w:pPr>
      <w:r w:rsidRPr="00876343">
        <w:rPr>
          <w:lang w:val="es-CO"/>
        </w:rPr>
        <w:t>Los resultados indican que hubo un in</w:t>
      </w:r>
      <w:r w:rsidRPr="00876343">
        <w:rPr>
          <w:lang w:val="es-CO"/>
        </w:rPr>
        <w:t>cremento significativo en el capital regulatorio bancario sobre activos ponderados por riesgo entre 2007 y 2014, lo que sugiere una reducción en el apalancamiento de los bancos. Dado que los altos niveles de apalancamiento fueron un factor clave en la ines</w:t>
      </w:r>
      <w:r w:rsidRPr="00876343">
        <w:rPr>
          <w:lang w:val="es-CO"/>
        </w:rPr>
        <w:t xml:space="preserve">tabilidad financiera previa a la crisis de 2008, estos hallazgos respaldan la hipótesis </w:t>
      </w:r>
      <w:r w:rsidRPr="00876343">
        <w:rPr>
          <w:lang w:val="es-CO"/>
        </w:rPr>
        <w:lastRenderedPageBreak/>
        <w:t xml:space="preserve">de que las regulaciones implementadas después de la crisis (como Basilea III) han mejorado la estabilidad del sistema financiero. Por lo tanto, existe evidencia de que </w:t>
      </w:r>
      <w:r w:rsidRPr="00876343">
        <w:rPr>
          <w:lang w:val="es-CO"/>
        </w:rPr>
        <w:t>la estabilidad financiera ha aumentado desde la crisis de 2008, ya que los bancos han fortalecido su capital y reducido su dependencia del endeudamiento excesivo.</w:t>
      </w:r>
    </w:p>
    <w:sectPr w:rsidR="00AA38E4" w:rsidRPr="00876343">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E29ED7A-955C-4EF3-ADE9-5E6C51B286F2}"/>
    <w:embedBold r:id="rId2" w:fontKey="{26932305-7B3A-4EC2-9A75-252C364B8D5D}"/>
  </w:font>
  <w:font w:name="Calibri Light">
    <w:panose1 w:val="020F0302020204030204"/>
    <w:charset w:val="00"/>
    <w:family w:val="swiss"/>
    <w:pitch w:val="variable"/>
    <w:sig w:usb0="E4002EFF" w:usb1="C200247B" w:usb2="00000009" w:usb3="00000000" w:csb0="000001FF" w:csb1="00000000"/>
    <w:embedRegular r:id="rId3" w:fontKey="{CC60B3D9-2209-4A53-B9A5-E04F1CCF50EA}"/>
  </w:font>
  <w:font w:name="Georgia">
    <w:panose1 w:val="02040502050405020303"/>
    <w:charset w:val="00"/>
    <w:family w:val="roman"/>
    <w:pitch w:val="variable"/>
    <w:sig w:usb0="00000287" w:usb1="00000000" w:usb2="00000000" w:usb3="00000000" w:csb0="0000009F" w:csb1="00000000"/>
    <w:embedRegular r:id="rId4" w:fontKey="{83898194-B1AB-4CCF-92B0-C81397301929}"/>
    <w:embedItalic r:id="rId5" w:fontKey="{48ABFCC8-AF3E-4C88-923D-7148396DF4CB}"/>
  </w:font>
  <w:font w:name="Tahoma">
    <w:panose1 w:val="020B0604030504040204"/>
    <w:charset w:val="00"/>
    <w:family w:val="swiss"/>
    <w:pitch w:val="variable"/>
    <w:sig w:usb0="E1002EFF" w:usb1="C000605B" w:usb2="00000029" w:usb3="00000000" w:csb0="000101FF" w:csb1="00000000"/>
    <w:embedRegular r:id="rId6" w:fontKey="{8099AC69-4E52-4005-B689-422644ADA9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82008"/>
    <w:multiLevelType w:val="multilevel"/>
    <w:tmpl w:val="F0A47A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5D5D2A"/>
    <w:multiLevelType w:val="multilevel"/>
    <w:tmpl w:val="B428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694A0B"/>
    <w:multiLevelType w:val="multilevel"/>
    <w:tmpl w:val="8104D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5627974"/>
    <w:multiLevelType w:val="multilevel"/>
    <w:tmpl w:val="30EC5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DE1458E"/>
    <w:multiLevelType w:val="multilevel"/>
    <w:tmpl w:val="465EF4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D8360B"/>
    <w:multiLevelType w:val="multilevel"/>
    <w:tmpl w:val="233AF3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CC816A5"/>
    <w:multiLevelType w:val="multilevel"/>
    <w:tmpl w:val="BF0CB0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4B76823"/>
    <w:multiLevelType w:val="multilevel"/>
    <w:tmpl w:val="A2D09DA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5"/>
  </w:num>
  <w:num w:numId="4">
    <w:abstractNumId w:val="6"/>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8E4"/>
    <w:rsid w:val="00200522"/>
    <w:rsid w:val="00434BB6"/>
    <w:rsid w:val="00876343"/>
    <w:rsid w:val="00AA38E4"/>
    <w:rsid w:val="00F777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0C6BE"/>
  <w15:docId w15:val="{C5A09C5C-9645-4628-AF7A-1F5EA2BA9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2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661801"/>
    <w:pPr>
      <w:ind w:left="720"/>
      <w:contextualSpacing/>
    </w:pPr>
  </w:style>
  <w:style w:type="character" w:customStyle="1" w:styleId="Ttulo1Car">
    <w:name w:val="Título 1 Car"/>
    <w:basedOn w:val="Fuentedeprrafopredeter"/>
    <w:link w:val="Ttulo1"/>
    <w:uiPriority w:val="9"/>
    <w:rsid w:val="00202784"/>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Z4aJdlNr0JpQLewyI9CCVBOHOA==">CgMxLjAaHwoBMBIaChgICVIUChJ0YWJsZS5uY3RteHpwMDVvazUyDmguaGsxNmVpbm43YXNuMg5oLnhpdnZ0bzJxemMwNjIOaC55NG5qdWVldXpvZnkyDmguY2JiMGk1eTFkZXB3OAByITFGaHBGdk1fRXZIUWVZNXIwSndiVXRkeGIzeUFfejNoZA==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12</Pages>
  <Words>3049</Words>
  <Characters>16772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Rodriguez Lesmes</dc:creator>
  <cp:lastModifiedBy>SOFIA LOPEZ MORALES</cp:lastModifiedBy>
  <cp:revision>3</cp:revision>
  <dcterms:created xsi:type="dcterms:W3CDTF">2025-04-01T16:38:00Z</dcterms:created>
  <dcterms:modified xsi:type="dcterms:W3CDTF">2025-04-03T02:54:00Z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ce741ea1-9e96-4495-abf9-11dccd88e7de</vt:lpwstr>
  </property>
</Properties>
</file>