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3366"/>
          <w:sz w:val="42"/>
        </w:rPr>
        <w:t>Portafolio de Evidencias No. 4</w:t>
      </w:r>
    </w:p>
    <w:p>
      <w:pPr>
        <w:spacing w:after="40"/>
        <w:jc w:val="center"/>
      </w:pPr>
      <w:r>
        <w:rPr>
          <w:rFonts w:ascii="Calibri" w:hAnsi="Calibri"/>
          <w:b/>
          <w:color w:val="E87722"/>
          <w:sz w:val="24"/>
        </w:rPr>
        <w:t>Modelo de Negocio Consolidado (BMC), Unit Economics (LTV/CAC) e Impactos ODS</w:t>
      </w:r>
    </w:p>
    <w:p>
      <w:pPr>
        <w:spacing w:after="280"/>
        <w:jc w:val="center"/>
      </w:pPr>
      <w:r>
        <w:rPr>
          <w:rFonts w:ascii="Calibri" w:hAnsi="Calibri"/>
          <w:i/>
          <w:color w:val="333333"/>
          <w:sz w:val="19"/>
        </w:rPr>
        <w:t>Curso de Emprendimiento · Pregrado en Ciencia de Datos · Universidad Externado de Colombia · Octubre de 2026</w:t>
        <w:br/>
        <w:t>Grupo 5: Santiago Sandoval, Sebastián Ramos, Julián Duarte, Tomás Rincón, Julián Jiménez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3366"/>
          <w:sz w:val="28"/>
        </w:rPr>
        <w:t>Paso 0. La Idea: Impulso del Mercado, Empuje Tecnológico o Híbrida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El proyecto Wheels Externado se fundamenta en un modelo híbrido con fuerte dominancia del impulso del mercado (market pull, Aulet 2017). Nace de la fricción cotidiana y crítica que viven a diario más de 12.000 estudiantes para ascender al campus en los cerros orientales de Bogotá, complementado por la disponibilidad de tecnologías masivas de geolocalización, matching algorítmico y pagos móviles.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Mini Lienzo de la Idea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Casilla</w:t>
            </w:r>
          </w:p>
        </w:tc>
        <w:tc>
          <w:tcPr>
            <w:tcW w:type="dxa" w:w="6803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Definición Estratégica del Proyecto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1. Impulso del mercado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Esta idea es relevante para la comunidad de estudiantes y conductores de la Universidad Externado de Colombia (~12.000 miembros) porque producirá un valor significativo al eliminar la incertidumbre de viaje, el colapso de mensajes y el riesgo de inseguridad de los grupos informales de WhatsApp, garantizando cupos reservados, rutas sincronizadas y transacciones digitales sin fricción (Campo 2: 12/12 reportan saturación diaria).</w:t>
            </w:r>
          </w:p>
        </w:tc>
      </w:tr>
      <w:tr>
        <w:tc>
          <w:tcPr>
            <w:tcW w:type="dxa" w:w="2268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2. Tecnología</w:t>
            </w:r>
          </w:p>
        </w:tc>
        <w:tc>
          <w:tcPr>
            <w:tcW w:type="dxa" w:w="6803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La tecnología que lo hace posible es la integración de algoritmos de optimización de rutas y matching espacial en tiempo real, autenticación federada con correo institucional @uexternado.edu.co y pasarelas de micropagos móviles (Nequi / Daviplata / PSE), viable hoy por la adopción del 100% de smartphones en el campus y el hábito previo de carpooling.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3. Por qué nosotros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El equipo cuenta con tres activos determinantes: (1) Inmersión y acceso orgánico inmediato al ser estudiantes activos del Externado que viven el problema; (2) Competencias técnicas en Ciencia de Datos (desarrollo backend, algoritmos geoespaciales y analítica predictiva); (3) Capacidad de iteración y validación rápida in situ a costo cero.</w:t>
            </w:r>
          </w:p>
        </w:tc>
      </w:tr>
    </w:tbl>
    <w:p>
      <w:pPr>
        <w:spacing w:after="6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03366"/>
          <w:sz w:val="28"/>
        </w:rPr>
        <w:t>Paso 1. Análisis de la Industria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El análisis combina el Diamante de Porter y las Cinco Fuerzas de Porter, evaluando el atractivo de entrada: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1a. Condiciones de los factores y proveedores: </w:t>
      </w:r>
      <w:r>
        <w:rPr>
          <w:rFonts w:ascii="Calibri" w:hAnsi="Calibri"/>
          <w:color w:val="333333"/>
          <w:sz w:val="19"/>
        </w:rPr>
        <w:t>Medio-Alto. Los conductores no buscan lucro profesional sino amortizar parqueadero ($22.000 COP) y gasolina. La oferta vehicular ya existe y está ociosa; asegurar un take-rate bajo ($1.000 COP) y liquidación inmediata fideliza la oferta. Conclusión: Favorece la entrada.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1b. Condiciones de la demanda y clientes: </w:t>
      </w:r>
      <w:r>
        <w:rPr>
          <w:rFonts w:ascii="Calibri" w:hAnsi="Calibri"/>
          <w:color w:val="333333"/>
          <w:sz w:val="19"/>
        </w:rPr>
        <w:t>Bajo-Medio individualmente, pero con alta elasticidad si se excede la tarifa mental ($8.000 COP). Hay una demanda cautiva que padece viajes de 90-150 minutos. Conclusión: Altamente favorable para una solución con precio justo y certeza.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1c. Amenaza de sustitutos: </w:t>
      </w:r>
      <w:r>
        <w:rPr>
          <w:rFonts w:ascii="Calibri" w:hAnsi="Calibri"/>
          <w:color w:val="333333"/>
          <w:sz w:val="19"/>
        </w:rPr>
        <w:t>Sustitutos en volumen (TransMilenio, SITP, taxis, Uber, InDrive). Sin embargo, ninguno entrega simultáneamente tarifa económica ($8.000) + comunidad cerrada institucional + ruta directa. Conclusión: Favorece la entrada en nicho cerrado.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Tabla Comparativa de 5 Competidores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7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Competidor</w:t>
            </w:r>
          </w:p>
        </w:tc>
        <w:tc>
          <w:tcPr>
            <w:tcW w:type="dxa" w:w="1417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147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Problema que resuelve</w:t>
            </w:r>
          </w:p>
        </w:tc>
        <w:tc>
          <w:tcPr>
            <w:tcW w:type="dxa" w:w="1417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Tarifa / Escala</w:t>
            </w:r>
          </w:p>
        </w:tc>
        <w:tc>
          <w:tcPr>
            <w:tcW w:type="dxa" w:w="147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 qué se parece</w:t>
            </w:r>
          </w:p>
        </w:tc>
        <w:tc>
          <w:tcPr>
            <w:tcW w:type="dxa" w:w="170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 qué nos diferenciamos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1. WhatsApp Externado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Carpooling informal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Conecta cupos entre pares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$6.000 COP / ~400 viajes sem.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Misma comunidad y tarifa base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WhatsApp no tiene filtros, ni reservas, ni verificación, ni pagos integrados.</w:t>
            </w:r>
          </w:p>
        </w:tc>
      </w:tr>
      <w:tr>
        <w:tc>
          <w:tcPr>
            <w:tcW w:type="dxa" w:w="158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2. InDrive</w:t>
            </w:r>
          </w:p>
        </w:tc>
        <w:tc>
          <w:tcPr>
            <w:tcW w:type="dxa" w:w="141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Movilidad urbana P2P</w:t>
            </w:r>
          </w:p>
        </w:tc>
        <w:tc>
          <w:tcPr>
            <w:tcW w:type="dxa" w:w="147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Viajes con precio negociable</w:t>
            </w:r>
          </w:p>
        </w:tc>
        <w:tc>
          <w:tcPr>
            <w:tcW w:type="dxa" w:w="141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Dinámica / Multinacional</w:t>
            </w:r>
          </w:p>
        </w:tc>
        <w:tc>
          <w:tcPr>
            <w:tcW w:type="dxa" w:w="147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Viajes en autos particulares</w:t>
            </w:r>
          </w:p>
        </w:tc>
        <w:tc>
          <w:tcPr>
            <w:tcW w:type="dxa" w:w="1701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Mercado abierto sin filtro institucional; riesgo de seguridad para el campus.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3. Uber / DiDi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Ride-hailing masivo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Transporte bajo demanda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$25.000-$45.000 COP / Global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Tecnología de reserva y GPS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Tarifa prohibitiva para uso diario universitario (3 a 5 veces más cara).</w:t>
            </w:r>
          </w:p>
        </w:tc>
      </w:tr>
      <w:tr>
        <w:tc>
          <w:tcPr>
            <w:tcW w:type="dxa" w:w="158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4. TransMilenio / SITP</w:t>
            </w:r>
          </w:p>
        </w:tc>
        <w:tc>
          <w:tcPr>
            <w:tcW w:type="dxa" w:w="141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Transporte masivo público</w:t>
            </w:r>
          </w:p>
        </w:tc>
        <w:tc>
          <w:tcPr>
            <w:tcW w:type="dxa" w:w="147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Movilidad urbana de bajo costo</w:t>
            </w:r>
          </w:p>
        </w:tc>
        <w:tc>
          <w:tcPr>
            <w:tcW w:type="dxa" w:w="141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$3.200 COP / Sistema distrital</w:t>
            </w:r>
          </w:p>
        </w:tc>
        <w:tc>
          <w:tcPr>
            <w:tcW w:type="dxa" w:w="147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Mueve estudiantes al centro</w:t>
            </w:r>
          </w:p>
        </w:tc>
        <w:tc>
          <w:tcPr>
            <w:tcW w:type="dxa" w:w="1701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Tiempos extremos (90-150 min), fatiga, congestión y riesgo de hurto.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5. Try My Ride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Carpooling corporativo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Movilidad sostenible B2B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Contratos corporativos B2B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Enfoque institucional cerrado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Rígido para compliance empresarial; no resuelve el dinamismo P2P estudiantil.</w:t>
            </w:r>
          </w:p>
        </w:tc>
      </w:tr>
    </w:tbl>
    <w:p>
      <w:pPr>
        <w:spacing w:after="60"/>
      </w:pPr>
    </w:p>
    <w:p>
      <w:pPr>
        <w:spacing w:after="80" w:line="276" w:lineRule="auto"/>
        <w:jc w:val="both"/>
      </w:pPr>
      <w:r>
        <w:rPr>
          <w:rFonts w:ascii="Calibri" w:hAnsi="Calibri"/>
          <w:b/>
          <w:color w:val="003366"/>
          <w:sz w:val="20"/>
        </w:rPr>
        <w:t xml:space="preserve">1e. Tamaño de la Industria: </w:t>
      </w:r>
      <w:r>
        <w:rPr>
          <w:rFonts w:ascii="Calibri" w:hAnsi="Calibri"/>
          <w:color w:val="333333"/>
          <w:sz w:val="20"/>
        </w:rPr>
        <w:t>Tamaño del mercado: El mercado de movilidad en plataformas en Colombia supera los $1,2 billones de COP anuales. En Bogotá hay más de 750.000 estudiantes de educación superior; en el Externado, con 12.000 estudiantes y 2.400 usuarios potenciales en corredores críticos, el valor transaccional bruto anual del Beachhead se estima en $4.600 millones de COP anuales.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3366"/>
          <w:sz w:val="28"/>
        </w:rPr>
        <w:t>Paso 2. Árbol de Causas del Problema (Espina de Pescado / Ishikawa)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Problema Central: Ineficiencia, incertidumbre de cupo y riesgos de seguridad en la coordinación de viajes compartidos (Wheels) para los estudiantes y conductores de la Universidad Externado de Colombia.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Causas Duras (Recursos, Procesos y Tecnología): </w:t>
      </w:r>
      <w:r>
        <w:rPr>
          <w:rFonts w:ascii="Calibri" w:hAnsi="Calibri"/>
          <w:color w:val="333333"/>
          <w:sz w:val="19"/>
        </w:rPr>
        <w:t>Ubicación en cerros orientales con vías estrechas y déficit de parqueaderos institucionales ($22.000/día). Coordinación manual por texto en chats masivos sin orden de llegada ni confirmación. Fricción en pagos con efectivo sin cambio o transferencias bloqueadas por señal en sótanos. Saturación extrema de chats (sepultamiento de rutas en minutos).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Causas Blandas (Factores Psicológicos, Culturales y Económicos): </w:t>
      </w:r>
      <w:r>
        <w:rPr>
          <w:rFonts w:ascii="Calibri" w:hAnsi="Calibri"/>
          <w:color w:val="333333"/>
          <w:sz w:val="19"/>
        </w:rPr>
        <w:t>Asimetría de pérdidas económicas (el pasajero incumple sin costo; el conductor pierde $12.000 del cupo vacío). Cultura del ghosting (cancelaciones a 15 minutos sin consecuencias morales). Incertidumbre y fatiga psicológica en pasajeros. Desconfianza por falta de verificación institucional y temor de seguridad personal en mujeres.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4F7FA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E87722"/>
                <w:sz w:val="19"/>
              </w:rPr>
              <w:t xml:space="preserve">Nota / Evidencia de Campo: </w:t>
            </w:r>
            <w:r>
              <w:rPr>
                <w:rFonts w:ascii="Calibri" w:hAnsi="Calibri"/>
                <w:i/>
                <w:sz w:val="18"/>
              </w:rPr>
              <w:t>Todas las causas anteriores fueron verificadas empíricamente en el Trabajo de Campo 2 (12 de 12 entrevistados reportaron la saturación de chats y la necesidad crítica de verificación @uexternado.edu.co).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003366"/>
          <w:sz w:val="28"/>
        </w:rPr>
        <w:t>Paso 3. Problema, Mercado y Primer Prototipo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3.1 ¿Qué hacen los clientes hoy? </w:t>
      </w:r>
      <w:r>
        <w:rPr>
          <w:rFonts w:ascii="Calibri" w:hAnsi="Calibri"/>
          <w:color w:val="333333"/>
          <w:sz w:val="19"/>
        </w:rPr>
        <w:t>Hoy usan 4 grupos informales de WhatsApp. El pasajero gasta $6.000 COP/viaje (o $25k-$45k en Uber de emergencia) y 90-150 min en bus. El conductor recauda $18k-$24k que se van íntegros en parqueadero y gasolina. Les molesta: leer 400 mensajes para encontrar su ruta, el ghosting y la inseguridad.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3.2 ¿Por qué es difícil de resolver? </w:t>
      </w:r>
      <w:r>
        <w:rPr>
          <w:rFonts w:ascii="Calibri" w:hAnsi="Calibri"/>
          <w:color w:val="333333"/>
          <w:sz w:val="19"/>
        </w:rPr>
        <w:t>Barreras técnicas (algoritmos de ruteo dinámico ausentes en chats planos), barreras económicas (un modelo masivo de transporte no es rentable a $8.000 COP; solo opera bajo economía de amortización colaborativa) y dilema de red de dos lados.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3.3 Tipo de mercado: </w:t>
      </w:r>
      <w:r>
        <w:rPr>
          <w:rFonts w:ascii="Calibri" w:hAnsi="Calibri"/>
          <w:color w:val="333333"/>
          <w:sz w:val="19"/>
        </w:rPr>
        <w:t>Mercado Resegmentado por Nicho (Steve Blank). Se toma un mercado existente maduro (movilidad urbana) y se atiende un nicho cerrado con atributos diferenciadores: confianza institucional garantizada, rutas consolidadas y tarifa accesible, permitiendo un CAC cercano a cero.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3.4 Prototipo y Ajustes: </w:t>
      </w:r>
      <w:r>
        <w:rPr>
          <w:rFonts w:ascii="Calibri" w:hAnsi="Calibri"/>
          <w:color w:val="333333"/>
          <w:sz w:val="19"/>
        </w:rPr>
        <w:t>Mockup de 3 pantallas: (1) Descubrimiento y reserva por corredor; (2) Pago digital en custodia; (3) Seguridad y calificación bilateral. Ajustes tras Campo 2: historial acumulado de viajes, penalización anti-ghosting que indemniza al conductor, filtro de conductoras mujeres y microzonas para corredores cortos.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3366"/>
          <w:sz w:val="28"/>
        </w:rPr>
        <w:t>Paso 4. Modelo de Negocio (BMC Total) y Unit Economics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Eje Cero - Valores en Acción: Propósito de democratizar una movilidad digna y segura. Transparencia radical (desglose público de comisiones), confianza comunitaria (@uexternado obligatorio), equidad con el conductor (80% del depósito de cancelación va al conductor). No negociables: cero venta de datos, cero tarifas dinámicas abusivas y cero tolerancia al acoso.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1. Segmento de Clientes y TAM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Segmentos: </w:t>
      </w:r>
      <w:r>
        <w:rPr>
          <w:rFonts w:ascii="Calibri" w:hAnsi="Calibri"/>
          <w:color w:val="333333"/>
          <w:sz w:val="19"/>
        </w:rPr>
        <w:t>Plataforma de Dos Lados: Pasajeros en corredores periféricos (Suba, 80, Kennedy, Bosa, Facatativá) y Conductores externadistas con vehículo propio que buscan amortizar parqueadero.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Beachhead Market: </w:t>
      </w:r>
      <w:r>
        <w:rPr>
          <w:rFonts w:ascii="Calibri" w:hAnsi="Calibri"/>
          <w:color w:val="333333"/>
          <w:sz w:val="19"/>
        </w:rPr>
        <w:t>Estudiantes de pregrado con viajes diarios en corredores críticos (&gt;60 min de viaje). Cumple con homogeneidad de hábitos, horarios compartidos y alta viralidad boca a boca.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Personas Validadas: </w:t>
      </w:r>
      <w:r>
        <w:rPr>
          <w:rFonts w:ascii="Calibri" w:hAnsi="Calibri"/>
          <w:color w:val="333333"/>
          <w:sz w:val="19"/>
        </w:rPr>
        <w:t>Daniel (Conductor de 7.° semestre, Fontibón, amortiza $22k de parqueadero) y Camila (Pasajera de 3.er semestre, Timiza, sale a las 5:20 am, busca cupo garantizado y seguridad de género).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Dimensionamiento TAM: </w:t>
      </w:r>
      <w:r>
        <w:rPr>
          <w:rFonts w:ascii="Calibri" w:hAnsi="Calibri"/>
          <w:color w:val="333333"/>
          <w:sz w:val="19"/>
        </w:rPr>
        <w:t>Top-Down: $3.120 millones COP/año (universidades zona centro). Bottom-Up (Beachhead Externado): 2.400 alumnos activos x 256 viajes/año x $1.000 COP comisión = $614.400.000 COP/año (~$153.600 USD/año).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2. Propuesta de Valor, Canales y Relaciones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Propuesta de Valor: </w:t>
      </w:r>
      <w:r>
        <w:rPr>
          <w:rFonts w:ascii="Calibri" w:hAnsi="Calibri"/>
          <w:color w:val="333333"/>
          <w:sz w:val="19"/>
        </w:rPr>
        <w:t>Core del Negocio: Efecto de red hiperlocal cerrado con verificación institucional obligatoria @uexternado.edu.co y algoritmo de ruteo sincronizado a horarios académicos. Difícil de replicar por plataformas masivas abiertas.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Canales y Embudo: </w:t>
      </w:r>
      <w:r>
        <w:rPr>
          <w:rFonts w:ascii="Calibri" w:hAnsi="Calibri"/>
          <w:color w:val="333333"/>
          <w:sz w:val="19"/>
        </w:rPr>
        <w:t>Adquisición autónoma B2C por el estudiante. Embudo: Corto plazo (venta personal en campus y migración guiada de chats de WhatsApp, conversión 40%), Mediano plazo (Bienestar Universitario e inducciones, conversión 25%), Largo plazo (referidos virales, conversión 35%).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Relación con Clientes: </w:t>
      </w:r>
      <w:r>
        <w:rPr>
          <w:rFonts w:ascii="Calibri" w:hAnsi="Calibri"/>
          <w:color w:val="333333"/>
          <w:sz w:val="19"/>
        </w:rPr>
        <w:t>Conseguir (verificación y cupo garantizado), Retener (cero comisiones ocultas, transferencias inmediatas Nequi y penalización por ghosting) y Crecer (referidos por corredor, 8/12 ofrecidos en campo).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5. Fuentes de Ingreso y Valor de Vida del Cliente (LTV)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Modelo: Take-rate transaccional de $1.200 COP por cupo reservado y viajado (15% sobre tarifa de $8.000 COP). Conductor recibe $6.800 COP netos. Costo directo transaccional: $200 COP (Margen bruto: 83,3%).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Cálculo formal de LTV según la plantilla de Excel de Bill Aulet (Capítulo 17), proyectado a 5 años (duración de la carrera) con costo de capital de capital propio r = 50% anual: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113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Viajes/Sem.</w:t>
            </w:r>
          </w:p>
        </w:tc>
        <w:tc>
          <w:tcPr>
            <w:tcW w:type="dxa" w:w="1247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Viajes Anuales</w:t>
            </w:r>
          </w:p>
        </w:tc>
        <w:tc>
          <w:tcPr>
            <w:tcW w:type="dxa" w:w="1417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Ingreso Anual</w:t>
            </w:r>
          </w:p>
        </w:tc>
        <w:tc>
          <w:tcPr>
            <w:tcW w:type="dxa" w:w="1247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Margen Bruto</w:t>
            </w:r>
          </w:p>
        </w:tc>
        <w:tc>
          <w:tcPr>
            <w:tcW w:type="dxa" w:w="1247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Retención Anual</w:t>
            </w:r>
          </w:p>
        </w:tc>
        <w:tc>
          <w:tcPr>
            <w:tcW w:type="dxa" w:w="13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LTV a 5 Años (r=50%)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Pesimista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3 viajes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84 viajes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$100.800 COP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75,0%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70,0%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$92.408 COP</w:t>
            </w:r>
          </w:p>
        </w:tc>
      </w:tr>
      <w:tr>
        <w:tc>
          <w:tcPr>
            <w:tcW w:type="dxa" w:w="141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Esperado</w:t>
            </w:r>
          </w:p>
        </w:tc>
        <w:tc>
          <w:tcPr>
            <w:tcW w:type="dxa" w:w="113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4 viajes</w:t>
            </w:r>
          </w:p>
        </w:tc>
        <w:tc>
          <w:tcPr>
            <w:tcW w:type="dxa" w:w="124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128 viajes</w:t>
            </w:r>
          </w:p>
        </w:tc>
        <w:tc>
          <w:tcPr>
            <w:tcW w:type="dxa" w:w="141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$153.600 COP</w:t>
            </w:r>
          </w:p>
        </w:tc>
        <w:tc>
          <w:tcPr>
            <w:tcW w:type="dxa" w:w="124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83,3%</w:t>
            </w:r>
          </w:p>
        </w:tc>
        <w:tc>
          <w:tcPr>
            <w:tcW w:type="dxa" w:w="124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80,0%</w:t>
            </w:r>
          </w:p>
        </w:tc>
        <w:tc>
          <w:tcPr>
            <w:tcW w:type="dxa" w:w="1361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$174.897 COP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Optimista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6 viajes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204 viajes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$244.800 COP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85,0%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85,0%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$301.418 COP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4F7FA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E87722"/>
                <w:sz w:val="19"/>
              </w:rPr>
              <w:t xml:space="preserve">Nota / Evidencia de Campo: </w:t>
            </w:r>
            <w:r>
              <w:rPr>
                <w:rFonts w:ascii="Calibri" w:hAnsi="Calibri"/>
                <w:i/>
                <w:sz w:val="18"/>
              </w:rPr>
              <w:t>Con costo de capital por deuda (r = 12%), el LTV del escenario esperado se eleva a $325.496 COP.</w:t>
            </w:r>
          </w:p>
        </w:tc>
      </w:tr>
    </w:tbl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9. Estructura de Costos, CAC y Regla de las 3X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Costos fijos mensuales: Servidores cloud ($280.000 COP), APIs mapas ($120.000 COP), licencias de tiendas ($65.000 COP), mercadeo campus ($150.000 COP). Costos variables: $200 COP/transacción.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587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Horizonte Temporal</w:t>
            </w:r>
          </w:p>
        </w:tc>
        <w:tc>
          <w:tcPr>
            <w:tcW w:type="dxa" w:w="181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Estrategia de Adquisición</w:t>
            </w:r>
          </w:p>
        </w:tc>
        <w:tc>
          <w:tcPr>
            <w:tcW w:type="dxa" w:w="13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CAC Estimado (Rango)</w:t>
            </w:r>
          </w:p>
        </w:tc>
        <w:tc>
          <w:tcPr>
            <w:tcW w:type="dxa" w:w="10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CAC Medio</w:t>
            </w:r>
          </w:p>
        </w:tc>
        <w:tc>
          <w:tcPr>
            <w:tcW w:type="dxa" w:w="113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LTV Esperado</w:t>
            </w:r>
          </w:p>
        </w:tc>
        <w:tc>
          <w:tcPr>
            <w:tcW w:type="dxa" w:w="10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Razón LTV / CAC</w:t>
            </w:r>
          </w:p>
        </w:tc>
        <w:tc>
          <w:tcPr>
            <w:tcW w:type="dxa" w:w="113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Cumple Regla 3X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Corto Plazo (Año 1)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Campus guerrilla &amp; WhatsApp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$4.000 – $8.000 COP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$6.000 COP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$174.897 COP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29,15 ×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SÍ (Sostenible)</w:t>
            </w:r>
          </w:p>
        </w:tc>
      </w:tr>
      <w:tr>
        <w:tc>
          <w:tcPr>
            <w:tcW w:type="dxa" w:w="1587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Mediano Plazo (Años 2-3)</w:t>
            </w:r>
          </w:p>
        </w:tc>
        <w:tc>
          <w:tcPr>
            <w:tcW w:type="dxa" w:w="181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Inducciones &amp; Embajadores</w:t>
            </w:r>
          </w:p>
        </w:tc>
        <w:tc>
          <w:tcPr>
            <w:tcW w:type="dxa" w:w="1361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$2.500 – $4.500 COP</w:t>
            </w:r>
          </w:p>
        </w:tc>
        <w:tc>
          <w:tcPr>
            <w:tcW w:type="dxa" w:w="1020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$3.125 COP</w:t>
            </w:r>
          </w:p>
        </w:tc>
        <w:tc>
          <w:tcPr>
            <w:tcW w:type="dxa" w:w="113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$174.897 COP</w:t>
            </w:r>
          </w:p>
        </w:tc>
        <w:tc>
          <w:tcPr>
            <w:tcW w:type="dxa" w:w="1020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55,97 ×</w:t>
            </w:r>
          </w:p>
        </w:tc>
        <w:tc>
          <w:tcPr>
            <w:tcW w:type="dxa" w:w="113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SÍ (Altamente Escalable)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Largo Plazo (Años 4-5)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Voz a voz viral &amp; Referidos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$1.200 – $2.200 COP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$1.666 COP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$174.897 COP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104,98 ×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SÍ (Consolidado)</w:t>
            </w:r>
          </w:p>
        </w:tc>
      </w:tr>
    </w:tbl>
    <w:p>
      <w:pPr>
        <w:spacing w:after="60"/>
      </w:pPr>
    </w:p>
    <w:p>
      <w:pPr>
        <w:spacing w:after="80" w:line="276" w:lineRule="auto"/>
        <w:jc w:val="both"/>
      </w:pPr>
      <w:r>
        <w:rPr>
          <w:rFonts w:ascii="Calibri" w:hAnsi="Calibri"/>
          <w:b/>
          <w:color w:val="003366"/>
          <w:sz w:val="20"/>
        </w:rPr>
        <w:t xml:space="preserve">Conclusión Financiera: </w:t>
      </w:r>
      <w:r>
        <w:rPr>
          <w:rFonts w:ascii="Calibri" w:hAnsi="Calibri"/>
          <w:color w:val="333333"/>
          <w:sz w:val="20"/>
        </w:rPr>
        <w:t>Conclusión 9.1: La razón LTV / CAC alcanza 29,15x en el corto plazo y supera los 100x en el largo plazo, cumpliendo holgadamente la regla de 3X (LTV &gt; 3 x CAC) de Bill Aulet. Incluso en el escenario pesimista ($92.408 COP) frente al CAC más alto ($8.000 COP), la razón se mantiene en 11,55x. Esta eficiencia unitaria sobresaliente se debe a que operamos sobre un mercado resegmentado en comunidad cerrada con costo de captación orgánico, sin pauta masiva abierta. El 15% del margen bruto se reinvertirá en bonos de fidelización para conductores.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10. Análisis de Impactos Sociales y Ambientales (ODS)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10.1 Impacto Social: </w:t>
      </w:r>
      <w:r>
        <w:rPr>
          <w:rFonts w:ascii="Calibri" w:hAnsi="Calibri"/>
          <w:color w:val="333333"/>
          <w:sz w:val="19"/>
        </w:rPr>
        <w:t>Garantía de rutas seguras para mujeres con conductoras verificadas y monitoreo GPS en vivo (ODS 5: Igualdad de Género). Ahorro de 25 a 35 horas mensuales de tiempo útil por estudiante (ODS 8: Trabajo Decente y Bienestar). Reducción de cancelaciones del 35% al 3% erradicando el ghosting.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10.2 Impacto Ambiental: </w:t>
      </w:r>
      <w:r>
        <w:rPr>
          <w:rFonts w:ascii="Calibri" w:hAnsi="Calibri"/>
          <w:color w:val="333333"/>
          <w:sz w:val="19"/>
        </w:rPr>
        <w:t>Aumento del factor de ocupación de 1,3 a 3,5 personas por vehículo, evitando más de 45 toneladas de CO2 al año (ODS 13: Acción por el Clima). Retiro de más de 150 vehículos diarios de circulación hacia los cerros orientales y La Candelaria (ODS 11: Ciudades y Comunidades Sostenibles).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03366"/>
          <w:sz w:val="28"/>
        </w:rPr>
        <w:t>Anexos Obligatorios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Anexo A. Instrumentos de Recolección (Guía y Filtro de Campo 2)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Cuestionario de Filtro: </w:t>
      </w:r>
      <w:r>
        <w:rPr>
          <w:rFonts w:ascii="Calibri" w:hAnsi="Calibri"/>
          <w:color w:val="333333"/>
          <w:sz w:val="19"/>
        </w:rPr>
        <w:t>1. ¿Eres estudiante activo de pregrado o posgrado del Externado? | 2. ¿Te desplazas hacia el campus al menos 2 veces por semana? | 3. ¿En qué corredor o zona de Bogotá/Sabana vives? | 4. ¿Has usado o publicado viajes en los grupos de WhatsApp de Wheels? | 5. ¿Dispones de 20 minutos para la entrevista?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03366"/>
          <w:sz w:val="19"/>
        </w:rPr>
        <w:t xml:space="preserve">Estructura de la Guía de Entrevista (16 Preguntas): </w:t>
      </w:r>
      <w:r>
        <w:rPr>
          <w:rFonts w:ascii="Calibri" w:hAnsi="Calibri"/>
          <w:color w:val="333333"/>
          <w:sz w:val="19"/>
        </w:rPr>
        <w:t>Tema 1: Contexto y frecuencia de viaje. Tema 2: El problema de transporte hacia los cerros. Tema 3: Cómo lo resuelve hoy (costos, tiempos, WhatsApp). Tema 4: Decisión de pago y roles. Tema 5: Relación esperada y retención. Tema 6: Reacción al concepto visual y solicitud formal de compromiso para Campo 3.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Anexo B. Tabla Completa de Supuestos y Parámetros Financieros (Aulet Cap. 17)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Parámetro Financiero</w:t>
            </w:r>
          </w:p>
        </w:tc>
        <w:tc>
          <w:tcPr>
            <w:tcW w:type="dxa" w:w="198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Valor Adoptado</w:t>
            </w:r>
          </w:p>
        </w:tc>
        <w:tc>
          <w:tcPr>
            <w:tcW w:type="dxa" w:w="4252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Base Metodológica / Fuente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Precio al Pasajero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$8.000 COP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Willingness to Pay validado en Campo 2 (12/12 informantes)</w:t>
            </w:r>
          </w:p>
        </w:tc>
      </w:tr>
      <w:tr>
        <w:tc>
          <w:tcPr>
            <w:tcW w:type="dxa" w:w="2835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Compensación Conductor</w:t>
            </w:r>
          </w:p>
        </w:tc>
        <w:tc>
          <w:tcPr>
            <w:tcW w:type="dxa" w:w="198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$6.800 COP</w:t>
            </w:r>
          </w:p>
        </w:tc>
        <w:tc>
          <w:tcPr>
            <w:tcW w:type="dxa" w:w="4252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Amortización parqueadero ($22.000) y gasolina (E5, E7, E11, E12)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Ingreso Plataforma (Take Rate)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$1.200 COP (15%)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Comisión competitiva frente a InDrive (10%) y Uber (25%)</w:t>
            </w:r>
          </w:p>
        </w:tc>
      </w:tr>
      <w:tr>
        <w:tc>
          <w:tcPr>
            <w:tcW w:type="dxa" w:w="2835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Costo Directo por Transacción</w:t>
            </w:r>
          </w:p>
        </w:tc>
        <w:tc>
          <w:tcPr>
            <w:tcW w:type="dxa" w:w="198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$200 COP</w:t>
            </w:r>
          </w:p>
        </w:tc>
        <w:tc>
          <w:tcPr>
            <w:tcW w:type="dxa" w:w="4252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Tarifa de pasarela API Nequi/Wompi + cómputo elástico cloud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Margen Bruto de Servicio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83,3%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($1.200 - $200) / $1.200</w:t>
            </w:r>
          </w:p>
        </w:tc>
      </w:tr>
      <w:tr>
        <w:tc>
          <w:tcPr>
            <w:tcW w:type="dxa" w:w="2835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Frecuencia Semanal de Viaje</w:t>
            </w:r>
          </w:p>
        </w:tc>
        <w:tc>
          <w:tcPr>
            <w:tcW w:type="dxa" w:w="198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4 viajes / semana</w:t>
            </w:r>
          </w:p>
        </w:tc>
        <w:tc>
          <w:tcPr>
            <w:tcW w:type="dxa" w:w="4252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2 viajes de ida y 2 de regreso semanales promedio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Semanas Académicas al Año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32 semanas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Calendario académico oficial Universidad Externado</w:t>
            </w:r>
          </w:p>
        </w:tc>
      </w:tr>
      <w:tr>
        <w:tc>
          <w:tcPr>
            <w:tcW w:type="dxa" w:w="2835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Tasa de Retención Interanual</w:t>
            </w:r>
          </w:p>
        </w:tc>
        <w:tc>
          <w:tcPr>
            <w:tcW w:type="dxa" w:w="1984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80,0%</w:t>
            </w:r>
          </w:p>
        </w:tc>
        <w:tc>
          <w:tcPr>
            <w:tcW w:type="dxa" w:w="4252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Duración promedio de pregrado (4-5 años) y deserción &lt;5%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Tasa de Descuento (Capital Propio)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50,0%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Estándar docente Aulet para ventures en etapa temprana</w:t>
            </w:r>
          </w:p>
        </w:tc>
      </w:tr>
    </w:tbl>
    <w:p>
      <w:pPr>
        <w:spacing w:after="60"/>
      </w:pPr>
    </w:p>
    <w:p>
      <w:pPr>
        <w:pStyle w:val="Heading2"/>
        <w:spacing w:before="160" w:after="40"/>
      </w:pPr>
      <w:r>
        <w:rPr>
          <w:rFonts w:ascii="Calibri" w:hAnsi="Calibri"/>
          <w:b/>
          <w:color w:val="E87722"/>
          <w:sz w:val="23"/>
        </w:rPr>
        <w:t>Anexo C. Lienzo de Modelo de Negocio (BMC) Sintético en 1 Página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Bloque BMC</w:t>
            </w:r>
          </w:p>
        </w:tc>
        <w:tc>
          <w:tcPr>
            <w:tcW w:type="dxa" w:w="6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Contenido Estratégico Resumido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Asociaciones Clave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Universidad Externado (Bienestar y Decanaturas), Administradores de chats de WhatsApp actuales, Pasarelas Nequi/Wompi, Pólizas de asistencia.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Actividades Clave</w:t>
            </w:r>
          </w:p>
        </w:tc>
        <w:tc>
          <w:tcPr>
            <w:tcW w:type="dxa" w:w="6520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Matching geoespacial y ruteo dinámico, Verificación institucional continua (@uexternado), Dispersión de pagos, Soporte híbrido.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Recursos Clave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Flota vehicular privada de estudiantes, Algoritmo de ruteo, Equipo Data Science, Infraestructura cloud Firebase/AWS.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Propuesta de Valor</w:t>
            </w:r>
          </w:p>
        </w:tc>
        <w:tc>
          <w:tcPr>
            <w:tcW w:type="dxa" w:w="6520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Cupos garantizados sin lotería de chats, Comunidad 100% verificada institucional, Seguridad reforzada con rutas solo mujeres, Liquidación inmediata.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Relaciones con Clientes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Confianza comunitaria institucional, Transparencia total en precios, Compensación por ghosting, Soporte de incidencias.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Canales</w:t>
            </w:r>
          </w:p>
        </w:tc>
        <w:tc>
          <w:tcPr>
            <w:tcW w:type="dxa" w:w="6520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Grupos existentes de WhatsApp (tracción inicial), Embajadores en facultades, App móvil iOS/Android.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Segmento de Clientes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Pasajeros en corredores periféricos (&gt;60 min viaje) y Conductores externadistas con vehículo que amortizan parqueadero.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Estructura de Costos</w:t>
            </w:r>
          </w:p>
        </w:tc>
        <w:tc>
          <w:tcPr>
            <w:tcW w:type="dxa" w:w="6520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Servidores cloud ($280k/mes), APIs mapas ($120k/mes), Pasarela de pagos ($200/tx), Licencias de tiendas y mercadeo.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Fuentes de Ingreso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Take-rate transaccional de $1.200 COP por viaje reservado y completado (Pasajero paga $8.000, Conductor recibe $6.800).</w:t>
            </w:r>
          </w:p>
        </w:tc>
      </w:tr>
    </w:tbl>
    <w:p>
      <w:pPr>
        <w:spacing w:after="6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03366"/>
          <w:sz w:val="28"/>
        </w:rPr>
        <w:t>Referencias Bibliográficas (Norma APA 7.ª Edición)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Aulet, B. (2017). Disciplined Entrepreneurship Workbook. John Wiley &amp; Sons.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Blank, S. (2020). The Four Steps to the Epiphany: Successful Strategies for Products that Win. K&amp;S Ranch Publishing.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Cámara Colombiana de Informática y Telecomunicaciones [CCIT]. (2025). Informe de Movilidad Colaborativa e Impacto Económico de Plataformas en Colombia. Bogotá: CCIT.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Osterwalder, A., &amp; Pigneur, Y. (2010). Business Model Generation: A Handbook for Visionaries, Game Changers, and Challengers. John Wiley &amp; Sons.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Porter, M. E. (2008). The Five Competitive Forces That Shape Strategy. Harvard Business Review, 86(1), 78-93.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Secretaría Distrital de Movilidad de Bogotá. (2024). Encuesta de Movilidad y Hábitos de Desplazamiento Universitario. Alcaldía Mayor de Bogotá.</w:t>
      </w:r>
    </w:p>
    <w:p>
      <w:pPr>
        <w:spacing w:after="80" w:line="276" w:lineRule="auto"/>
        <w:jc w:val="both"/>
      </w:pPr>
      <w:r>
        <w:rPr>
          <w:rFonts w:ascii="Calibri" w:hAnsi="Calibri"/>
          <w:color w:val="333333"/>
          <w:sz w:val="20"/>
        </w:rPr>
        <w:t>Universidad Externado de Colombia. (2026). Datos Institucionales y Estadísticas de Matrícula Estudiantil. Bogotá: U. Externado.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