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8A6D3B"/>
          <w:sz w:val="20"/>
          <w:szCs w:val="20"/>
        </w:rPr>
        <w:t xml:space="preserve">Universidad Externado de Colombia</w:t>
      </w:r>
    </w:p>
    <w:p>
      <w:pPr>
        <w:spacing w:after="40"/>
      </w:pPr>
      <w:r>
        <w:rPr>
          <w:b/>
          <w:bCs/>
          <w:color w:val="17324D"/>
          <w:sz w:val="32"/>
          <w:szCs w:val="32"/>
        </w:rPr>
        <w:t xml:space="preserve">Control de lectura — Emprendimiento</w:t>
      </w:r>
    </w:p>
    <w:p>
      <w:pPr>
        <w:spacing w:after="60"/>
      </w:pPr>
      <w:r>
        <w:rPr>
          <w:i/>
          <w:iCs/>
          <w:color w:val="555555"/>
          <w:sz w:val="19"/>
          <w:szCs w:val="19"/>
        </w:rPr>
        <w:t xml:space="preserve">Bianchi, M., &amp; Verganti, R. (2021). Entrepreneurs as designers of problems worth solving. Journal of Business Venturing Design, 1(1–2), 100006. https://doi.org/10.1016/j.jbvd.2022.100006</w:t>
      </w:r>
    </w:p>
    <w:p>
      <w:pPr>
        <w:spacing w:after="300"/>
      </w:pPr>
      <w:r>
        <w:rPr>
          <w:sz w:val="20"/>
          <w:szCs w:val="20"/>
        </w:rPr>
        <w:t xml:space="preserve">Sebastián Ramos</w:t>
      </w:r>
    </w:p>
    <w:p>
      <w:pPr>
        <w:pStyle w:val="Heading1"/>
        <w:spacing w:after="140" w:before="320"/>
      </w:pPr>
      <w:r>
        <w:t xml:space="preserve">1. Mapa conceptual del artículo</w:t>
      </w:r>
    </w:p>
    <w:p>
      <w:pPr>
        <w:spacing w:after="130"/>
      </w:pPr>
      <w:r>
        <w:rPr>
          <w:sz w:val="21"/>
          <w:szCs w:val="21"/>
        </w:rPr>
        <w:t xml:space="preserve">Idea central: los emprendedores no solo descubren problemas existentes ("problem finding" como descubrimiento) — también pueden diseñarlos, creando marcos (frames) originales que dan un sentido nuevo a una situación. El artículo formaliza cómo se hace ese diseño de problemas.</w:t>
      </w:r>
    </w:p>
    <w:p>
      <w:pPr>
        <w:pStyle w:val="Heading2"/>
        <w:spacing w:after="100" w:before="220"/>
      </w:pPr>
      <w:r>
        <w:t xml:space="preserve">A. El debate de fondo: ¿buscar problemas es como resolverlos?</w:t>
      </w:r>
    </w:p>
    <w:p>
      <w:pPr>
        <w:pStyle w:val="ListParagraph"/>
        <w:numPr>
          <w:ilvl w:val="0"/>
          <w:numId w:val="1"/>
        </w:numPr>
        <w:spacing w:after="70"/>
      </w:pPr>
      <w:r>
        <w:rPr>
          <w:sz w:val="21"/>
          <w:szCs w:val="21"/>
        </w:rPr>
        <w:t xml:space="preserve">Simon (1988): la búsqueda de problemas es reducible a heurísticas racionales, replicable por modelos computacionales — igual que resolver problemas.</w:t>
      </w:r>
    </w:p>
    <w:p>
      <w:pPr>
        <w:pStyle w:val="ListParagraph"/>
        <w:numPr>
          <w:ilvl w:val="0"/>
          <w:numId w:val="1"/>
        </w:numPr>
        <w:spacing w:after="70"/>
      </w:pPr>
      <w:r>
        <w:rPr>
          <w:sz w:val="21"/>
          <w:szCs w:val="21"/>
        </w:rPr>
        <w:t xml:space="preserve">Csikszentmihalyi (1988a, 1988b): la búsqueda de problemas depende también de factores afectivos y motivacionales que difícilmente se pueden automatizar — requiere un enfoque distinto al de resolver.</w:t>
      </w:r>
    </w:p>
    <w:p>
      <w:pPr>
        <w:pStyle w:val="ListParagraph"/>
        <w:numPr>
          <w:ilvl w:val="0"/>
          <w:numId w:val="1"/>
        </w:numPr>
        <w:spacing w:after="70"/>
      </w:pPr>
      <w:r>
        <w:rPr>
          <w:sz w:val="21"/>
          <w:szCs w:val="21"/>
        </w:rPr>
        <w:t xml:space="preserve">Postura de los autores: la vía dominante en la literatura trata "encontrar el problema" como un acto de descubrimiento (buscar algo que ya está "ahí afuera"). Proponen una vía alternativa: el problema también se puede diseñar/inventar.</w:t>
      </w:r>
    </w:p>
    <w:p>
      <w:pPr>
        <w:pStyle w:val="Heading2"/>
        <w:spacing w:after="100" w:before="220"/>
      </w:pPr>
      <w:r>
        <w:t xml:space="preserve">B. Diseñar un problema: los 4 movimientos centrales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17324D" w:val="clear"/>
            <w:tcMar>
              <w:top w:type="dxa" w:w="60"/>
              <w:left w:type="dxa" w:w="100"/>
              <w:bottom w:type="dxa" w:w="60"/>
              <w:right w:type="dxa" w:w="100"/>
            </w:tcMar>
          </w:tcPr>
          <w:p>
            <w:r>
              <w:rPr>
                <w:b/>
                <w:bCs/>
                <w:color w:val="FFFFFF"/>
                <w:sz w:val="19"/>
                <w:szCs w:val="19"/>
              </w:rPr>
              <w:t xml:space="preserve">Concepto</w:t>
            </w:r>
          </w:p>
        </w:tc>
        <w:tc>
          <w:tcPr>
            <w:tcW w:type="pct" w:w="38%"/>
            <w:shd w:fill="17324D" w:val="clear"/>
            <w:tcMar>
              <w:top w:type="dxa" w:w="60"/>
              <w:left w:type="dxa" w:w="100"/>
              <w:bottom w:type="dxa" w:w="60"/>
              <w:right w:type="dxa" w:w="100"/>
            </w:tcMar>
          </w:tcPr>
          <w:p>
            <w:r>
              <w:rPr>
                <w:b/>
                <w:bCs/>
                <w:color w:val="FFFFFF"/>
                <w:sz w:val="19"/>
                <w:szCs w:val="19"/>
              </w:rPr>
              <w:t xml:space="preserve">Qué es</w:t>
            </w:r>
          </w:p>
        </w:tc>
        <w:tc>
          <w:tcPr>
            <w:tcW w:type="pct" w:w="40%"/>
            <w:shd w:fill="17324D" w:val="clear"/>
            <w:tcMar>
              <w:top w:type="dxa" w:w="60"/>
              <w:left w:type="dxa" w:w="100"/>
              <w:bottom w:type="dxa" w:w="60"/>
              <w:right w:type="dxa" w:w="100"/>
            </w:tcMar>
          </w:tcPr>
          <w:p>
            <w:r>
              <w:rPr>
                <w:b/>
                <w:bCs/>
                <w:color w:val="FFFFFF"/>
                <w:sz w:val="19"/>
                <w:szCs w:val="19"/>
              </w:rPr>
              <w:t xml:space="preserve">Ejemplo del artículo</w:t>
            </w:r>
          </w:p>
        </w:tc>
      </w:tr>
      <w:tr>
        <w:tc>
          <w:tcPr>
            <w:tcW w:type="pct" w:w="22%"/>
            <w:shd w:fill="F7F5F0" w:val="clear"/>
            <w:tcMar>
              <w:top w:type="dxa" w:w="60"/>
              <w:left w:type="dxa" w:w="100"/>
              <w:bottom w:type="dxa" w:w="60"/>
              <w:right w:type="dxa" w:w="100"/>
            </w:tcMar>
          </w:tcPr>
          <w:p>
            <w:r>
              <w:rPr>
                <w:b w:val="false"/>
                <w:bCs w:val="false"/>
                <w:color w:val="1A1A1A"/>
                <w:sz w:val="19"/>
                <w:szCs w:val="19"/>
              </w:rPr>
              <w:t xml:space="preserve">Frame (marco) / Reframing</w:t>
            </w:r>
          </w:p>
        </w:tc>
        <w:tc>
          <w:tcPr>
            <w:tcW w:type="pct" w:w="38%"/>
            <w:shd w:fill="F7F5F0" w:val="clear"/>
            <w:tcMar>
              <w:top w:type="dxa" w:w="60"/>
              <w:left w:type="dxa" w:w="100"/>
              <w:bottom w:type="dxa" w:w="60"/>
              <w:right w:type="dxa" w:w="100"/>
            </w:tcMar>
          </w:tcPr>
          <w:p>
            <w:r>
              <w:rPr>
                <w:b w:val="false"/>
                <w:bCs w:val="false"/>
                <w:color w:val="1A1A1A"/>
                <w:sz w:val="19"/>
                <w:szCs w:val="19"/>
              </w:rPr>
              <w:t xml:space="preserve">Lente subjetivo que enfoca la atención en ciertos aspectos de la situación y no otros. Re-enmarcar = crear un lente nuevo.</w:t>
            </w:r>
          </w:p>
        </w:tc>
        <w:tc>
          <w:tcPr>
            <w:tcW w:type="pct" w:w="40%"/>
            <w:shd w:fill="F7F5F0" w:val="clear"/>
            <w:tcMar>
              <w:top w:type="dxa" w:w="60"/>
              <w:left w:type="dxa" w:w="100"/>
              <w:bottom w:type="dxa" w:w="60"/>
              <w:right w:type="dxa" w:w="100"/>
            </w:tcMar>
          </w:tcPr>
          <w:p>
            <w:r>
              <w:rPr>
                <w:b w:val="false"/>
                <w:bCs w:val="false"/>
                <w:color w:val="1A1A1A"/>
                <w:sz w:val="19"/>
                <w:szCs w:val="19"/>
              </w:rPr>
              <w:t xml:space="preserve">El iPhone no resolvió un problema existente de los celulares; propuso un frame nuevo (dispositivo que controla tu vida, no solo llamadas).</w:t>
            </w:r>
          </w:p>
        </w:tc>
      </w:tr>
      <w:tr>
        <w:tc>
          <w:tcPr>
            <w:tcW w:type="pct" w:w="22%"/>
            <w:shd w:fill="F7F5F0" w:val="clear"/>
            <w:tcMar>
              <w:top w:type="dxa" w:w="60"/>
              <w:left w:type="dxa" w:w="100"/>
              <w:bottom w:type="dxa" w:w="60"/>
              <w:right w:type="dxa" w:w="100"/>
            </w:tcMar>
          </w:tcPr>
          <w:p>
            <w:r>
              <w:rPr>
                <w:b w:val="false"/>
                <w:bCs w:val="false"/>
                <w:color w:val="1A1A1A"/>
                <w:sz w:val="19"/>
                <w:szCs w:val="19"/>
              </w:rPr>
              <w:t xml:space="preserve">Expansión del problema</w:t>
            </w:r>
          </w:p>
        </w:tc>
        <w:tc>
          <w:tcPr>
            <w:tcW w:type="pct" w:w="38%"/>
            <w:shd w:fill="F7F5F0" w:val="clear"/>
            <w:tcMar>
              <w:top w:type="dxa" w:w="60"/>
              <w:left w:type="dxa" w:w="100"/>
              <w:bottom w:type="dxa" w:w="60"/>
              <w:right w:type="dxa" w:w="100"/>
            </w:tcMar>
          </w:tcPr>
          <w:p>
            <w:r>
              <w:rPr>
                <w:b w:val="false"/>
                <w:bCs w:val="false"/>
                <w:color w:val="1A1A1A"/>
                <w:sz w:val="19"/>
                <w:szCs w:val="19"/>
              </w:rPr>
              <w:t xml:space="preserve">Agrandar el alcance del problema sumando actores o elementos que no estaban en su caracterización inicial.</w:t>
            </w:r>
          </w:p>
        </w:tc>
        <w:tc>
          <w:tcPr>
            <w:tcW w:type="pct" w:w="40%"/>
            <w:shd w:fill="F7F5F0" w:val="clear"/>
            <w:tcMar>
              <w:top w:type="dxa" w:w="60"/>
              <w:left w:type="dxa" w:w="100"/>
              <w:bottom w:type="dxa" w:w="60"/>
              <w:right w:type="dxa" w:w="100"/>
            </w:tcMar>
          </w:tcPr>
          <w:p>
            <w:r>
              <w:rPr>
                <w:b w:val="false"/>
                <w:bCs w:val="false"/>
                <w:color w:val="1A1A1A"/>
                <w:sz w:val="19"/>
                <w:szCs w:val="19"/>
              </w:rPr>
              <w:t xml:space="preserve">Maratón de Eindhoven: de "problema de tráfico" a "vitrina para atraer talento a empresas tecnológicas de la región".</w:t>
            </w:r>
          </w:p>
        </w:tc>
      </w:tr>
      <w:tr>
        <w:tc>
          <w:tcPr>
            <w:tcW w:type="pct" w:w="22%"/>
            <w:shd w:fill="F7F5F0" w:val="clear"/>
            <w:tcMar>
              <w:top w:type="dxa" w:w="60"/>
              <w:left w:type="dxa" w:w="100"/>
              <w:bottom w:type="dxa" w:w="60"/>
              <w:right w:type="dxa" w:w="100"/>
            </w:tcMar>
          </w:tcPr>
          <w:p>
            <w:r>
              <w:rPr>
                <w:b w:val="false"/>
                <w:bCs w:val="false"/>
                <w:color w:val="1A1A1A"/>
                <w:sz w:val="19"/>
                <w:szCs w:val="19"/>
              </w:rPr>
              <w:t xml:space="preserve">Elevación (elevation)</w:t>
            </w:r>
          </w:p>
        </w:tc>
        <w:tc>
          <w:tcPr>
            <w:tcW w:type="pct" w:w="38%"/>
            <w:shd w:fill="F7F5F0" w:val="clear"/>
            <w:tcMar>
              <w:top w:type="dxa" w:w="60"/>
              <w:left w:type="dxa" w:w="100"/>
              <w:bottom w:type="dxa" w:w="60"/>
              <w:right w:type="dxa" w:w="100"/>
            </w:tcMar>
          </w:tcPr>
          <w:p>
            <w:r>
              <w:rPr>
                <w:b w:val="false"/>
                <w:bCs w:val="false"/>
                <w:color w:val="1A1A1A"/>
                <w:sz w:val="19"/>
                <w:szCs w:val="19"/>
              </w:rPr>
              <w:t xml:space="preserve">Preguntar repetidamente "¿por qué importa esto?" para subir a valores humanos universales (job-to-be-done, meaning, higher-order themes).</w:t>
            </w:r>
          </w:p>
        </w:tc>
        <w:tc>
          <w:tcPr>
            <w:tcW w:type="pct" w:w="40%"/>
            <w:shd w:fill="F7F5F0" w:val="clear"/>
            <w:tcMar>
              <w:top w:type="dxa" w:w="60"/>
              <w:left w:type="dxa" w:w="100"/>
              <w:bottom w:type="dxa" w:w="60"/>
              <w:right w:type="dxa" w:w="100"/>
            </w:tcMar>
          </w:tcPr>
          <w:p>
            <w:r>
              <w:rPr>
                <w:b w:val="false"/>
                <w:bCs w:val="false"/>
                <w:color w:val="1A1A1A"/>
                <w:sz w:val="19"/>
                <w:szCs w:val="19"/>
              </w:rPr>
              <w:t xml:space="preserve">"La gente no quiere un taladro, quiere un hueco" → para colgar fotos → para preservar y compartir recuerdos.</w:t>
            </w:r>
          </w:p>
        </w:tc>
      </w:tr>
      <w:tr>
        <w:tc>
          <w:tcPr>
            <w:tcW w:type="pct" w:w="22%"/>
            <w:shd w:fill="F7F5F0" w:val="clear"/>
            <w:tcMar>
              <w:top w:type="dxa" w:w="60"/>
              <w:left w:type="dxa" w:w="100"/>
              <w:bottom w:type="dxa" w:w="60"/>
              <w:right w:type="dxa" w:w="100"/>
            </w:tcMar>
          </w:tcPr>
          <w:p>
            <w:r>
              <w:rPr>
                <w:b w:val="false"/>
                <w:bCs w:val="false"/>
                <w:color w:val="1A1A1A"/>
                <w:sz w:val="19"/>
                <w:szCs w:val="19"/>
              </w:rPr>
              <w:t xml:space="preserve">Saltos especulativos</w:t>
            </w:r>
          </w:p>
        </w:tc>
        <w:tc>
          <w:tcPr>
            <w:tcW w:type="pct" w:w="38%"/>
            <w:shd w:fill="F7F5F0" w:val="clear"/>
            <w:tcMar>
              <w:top w:type="dxa" w:w="60"/>
              <w:left w:type="dxa" w:w="100"/>
              <w:bottom w:type="dxa" w:w="60"/>
              <w:right w:type="dxa" w:w="100"/>
            </w:tcMar>
          </w:tcPr>
          <w:p>
            <w:r>
              <w:rPr>
                <w:b w:val="false"/>
                <w:bCs w:val="false"/>
                <w:color w:val="1A1A1A"/>
                <w:sz w:val="19"/>
                <w:szCs w:val="19"/>
              </w:rPr>
              <w:t xml:space="preserve">Combinar expansión + elevación para imaginar frames nuevos, no solo analizar la realidad actual.</w:t>
            </w:r>
          </w:p>
        </w:tc>
        <w:tc>
          <w:tcPr>
            <w:tcW w:type="pct" w:w="40%"/>
            <w:shd w:fill="F7F5F0" w:val="clear"/>
            <w:tcMar>
              <w:top w:type="dxa" w:w="60"/>
              <w:left w:type="dxa" w:w="100"/>
              <w:bottom w:type="dxa" w:w="60"/>
              <w:right w:type="dxa" w:w="100"/>
            </w:tcMar>
          </w:tcPr>
          <w:p>
            <w:r>
              <w:rPr>
                <w:b w:val="false"/>
                <w:bCs w:val="false"/>
                <w:color w:val="1A1A1A"/>
                <w:sz w:val="19"/>
                <w:szCs w:val="19"/>
              </w:rPr>
              <w:t xml:space="preserve">Prodigy Finance: de "modelo de crédito tradicional" (rechazado por bancos) a "impacto social + conexión emocional entre generaciones" (alumni prestan a alumni).</w:t>
            </w:r>
          </w:p>
        </w:tc>
      </w:tr>
    </w:tbl>
    <w:p>
      <w:pPr>
        <w:pStyle w:val="Heading2"/>
        <w:spacing w:after="100" w:before="220"/>
      </w:pPr>
      <w:r>
        <w:t xml:space="preserve">C. El riesgo de no re-enmarcar: fijación y "Freeze the world syndrome"</w:t>
      </w:r>
    </w:p>
    <w:p>
      <w:pPr>
        <w:spacing w:after="130"/>
      </w:pPr>
      <w:r>
        <w:rPr>
          <w:sz w:val="21"/>
          <w:szCs w:val="21"/>
        </w:rPr>
        <w:t xml:space="preserve">Dorst (2015) llama "freeze the world syndrome" a la tendencia a aislar el problema como si el mundo se detuviera, aunque las "reglas del juego" cambien todo el tiempo. El resultado son mapas del problema con fecha de caducidad corta, que se vuelven irrelevantes cuando el entorno cambia.</w:t>
      </w:r>
    </w:p>
    <w:p>
      <w:pPr>
        <w:spacing w:after="130"/>
      </w:pPr>
      <w:r>
        <w:rPr>
          <w:sz w:val="21"/>
          <w:szCs w:val="21"/>
        </w:rPr>
        <w:t xml:space="preserve">Ejemplo del artículo: Kodak invirtió temprano y fuerte en tecnología digital, pero se quedó fijado en ver la fotografía como "preservación de memoria" — no vio que el significado de una foto estaba cambiando hacia la comunicación en tiempo real y la autoexpresión (el terreno que después ganó Instagram).</w:t>
      </w:r>
    </w:p>
    <w:p>
      <w:pPr>
        <w:pStyle w:val="Heading2"/>
        <w:spacing w:after="100" w:before="220"/>
      </w:pPr>
      <w:r>
        <w:t xml:space="preserve">D. Elegir qué frame seguir</w:t>
      </w:r>
    </w:p>
    <w:p>
      <w:pPr>
        <w:pStyle w:val="ListParagraph"/>
        <w:numPr>
          <w:ilvl w:val="0"/>
          <w:numId w:val="1"/>
        </w:numPr>
        <w:spacing w:after="70"/>
      </w:pPr>
      <w:r>
        <w:rPr>
          <w:sz w:val="21"/>
          <w:szCs w:val="21"/>
        </w:rPr>
        <w:t xml:space="preserve">Factores psicológicos (inside-out): el propósito y la visión de mundo del propio emprendedor. Ej.: Elon Musk / SpaceX; el fundador de Prodigy Finance, que vivió en carne propia el problema que resolvió.</w:t>
      </w:r>
    </w:p>
    <w:p>
      <w:pPr>
        <w:pStyle w:val="ListParagraph"/>
        <w:numPr>
          <w:ilvl w:val="0"/>
          <w:numId w:val="1"/>
        </w:numPr>
        <w:spacing w:after="70"/>
      </w:pPr>
      <w:r>
        <w:rPr>
          <w:sz w:val="21"/>
          <w:szCs w:val="21"/>
        </w:rPr>
        <w:t xml:space="preserve">Contraste con el "deframing" del design thinking centrado en el usuario: mente de principiante, sin sesgos propios.</w:t>
      </w:r>
    </w:p>
    <w:p>
      <w:pPr>
        <w:pStyle w:val="ListParagraph"/>
        <w:numPr>
          <w:ilvl w:val="0"/>
          <w:numId w:val="1"/>
        </w:numPr>
        <w:spacing w:after="70"/>
      </w:pPr>
      <w:r>
        <w:rPr>
          <w:sz w:val="21"/>
          <w:szCs w:val="21"/>
        </w:rPr>
        <w:t xml:space="preserve">Factores ambientales: el contexto macro (social, cultural, tecnológico). "Technology epiphany": una tecnología emergente (ej. blockchain/NFTs) puede disparar un re-enmarcado radical del significado de algo.</w:t>
      </w:r>
    </w:p>
    <w:p>
      <w:pPr>
        <w:pStyle w:val="Heading2"/>
        <w:spacing w:after="100" w:before="220"/>
      </w:pPr>
      <w:r>
        <w:t xml:space="preserve">E. Métodos prácticos para re-enmarcar (cómo se hace en la práctica)</w:t>
      </w:r>
    </w:p>
    <w:p>
      <w:pPr>
        <w:pStyle w:val="ListParagraph"/>
        <w:numPr>
          <w:ilvl w:val="0"/>
          <w:numId w:val="1"/>
        </w:numPr>
        <w:spacing w:after="70"/>
      </w:pPr>
      <w:r>
        <w:rPr>
          <w:sz w:val="21"/>
          <w:szCs w:val="21"/>
        </w:rPr>
        <w:t xml:space="preserve">Frame innovation (Dorst): field → themes → frames (diagramas de afinidad, fenomenología de cada tema).</w:t>
      </w:r>
    </w:p>
    <w:p>
      <w:pPr>
        <w:pStyle w:val="ListParagraph"/>
        <w:numPr>
          <w:ilvl w:val="0"/>
          <w:numId w:val="1"/>
        </w:numPr>
        <w:spacing w:after="70"/>
      </w:pPr>
      <w:r>
        <w:rPr>
          <w:sz w:val="21"/>
          <w:szCs w:val="21"/>
        </w:rPr>
        <w:t xml:space="preserve">Scenario thinking / Vision in Design: construir escenarios futuros (10-20 años), "ghost scenario" (la proyección lineal esperada) y "backcasting" (volver al presente con esa mirada del futuro).</w:t>
      </w:r>
    </w:p>
    <w:p>
      <w:pPr>
        <w:pStyle w:val="ListParagraph"/>
        <w:numPr>
          <w:ilvl w:val="0"/>
          <w:numId w:val="1"/>
        </w:numPr>
        <w:spacing w:after="70"/>
      </w:pPr>
      <w:r>
        <w:rPr>
          <w:sz w:val="21"/>
          <w:szCs w:val="21"/>
        </w:rPr>
        <w:t xml:space="preserve">Innovation of Meaning (Verganti): pares → círculos → intérpretes externos que aportan perspectivas de otros campos. Ej.: Philips y la ansiedad infantil en escáneres médicos.</w:t>
      </w:r>
    </w:p>
    <w:p>
      <w:pPr>
        <w:pStyle w:val="Heading2"/>
        <w:spacing w:after="100" w:before="220"/>
      </w:pPr>
      <w:r>
        <w:t xml:space="preserve">Cómo se conectan las piezas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shd w:fill="17324D" w:val="clear"/>
            <w:tcMar>
              <w:top w:type="dxa" w:w="60"/>
              <w:left w:type="dxa" w:w="100"/>
              <w:bottom w:type="dxa" w:w="60"/>
              <w:right w:type="dxa" w:w="100"/>
            </w:tcMar>
          </w:tcPr>
          <w:p>
            <w:r>
              <w:rPr>
                <w:b/>
                <w:bCs/>
                <w:color w:val="FFFFFF"/>
                <w:sz w:val="19"/>
                <w:szCs w:val="19"/>
              </w:rPr>
              <w:t xml:space="preserve">Desde →</w:t>
            </w:r>
          </w:p>
        </w:tc>
        <w:tc>
          <w:tcPr>
            <w:tcW w:type="pct" w:w="24%"/>
            <w:shd w:fill="17324D" w:val="clear"/>
            <w:tcMar>
              <w:top w:type="dxa" w:w="60"/>
              <w:left w:type="dxa" w:w="100"/>
              <w:bottom w:type="dxa" w:w="60"/>
              <w:right w:type="dxa" w:w="100"/>
            </w:tcMar>
          </w:tcPr>
          <w:p>
            <w:r>
              <w:rPr>
                <w:b/>
                <w:bCs/>
                <w:color w:val="FFFFFF"/>
                <w:sz w:val="19"/>
                <w:szCs w:val="19"/>
              </w:rPr>
              <w:t xml:space="preserve">Hacia</w:t>
            </w:r>
          </w:p>
        </w:tc>
        <w:tc>
          <w:tcPr>
            <w:tcW w:type="pct" w:w="50%"/>
            <w:shd w:fill="17324D" w:val="clear"/>
            <w:tcMar>
              <w:top w:type="dxa" w:w="60"/>
              <w:left w:type="dxa" w:w="100"/>
              <w:bottom w:type="dxa" w:w="60"/>
              <w:right w:type="dxa" w:w="100"/>
            </w:tcMar>
          </w:tcPr>
          <w:p>
            <w:r>
              <w:rPr>
                <w:b/>
                <w:bCs/>
                <w:color w:val="FFFFFF"/>
                <w:sz w:val="19"/>
                <w:szCs w:val="19"/>
              </w:rPr>
              <w:t xml:space="preserve">Conexión</w:t>
            </w:r>
          </w:p>
        </w:tc>
      </w:tr>
      <w:tr>
        <w:tc>
          <w:tcPr>
            <w:tcW w:type="pct" w:w="26%"/>
            <w:shd w:fill="F7F5F0" w:val="clear"/>
            <w:tcMar>
              <w:top w:type="dxa" w:w="60"/>
              <w:left w:type="dxa" w:w="100"/>
              <w:bottom w:type="dxa" w:w="60"/>
              <w:right w:type="dxa" w:w="100"/>
            </w:tcMar>
          </w:tcPr>
          <w:p>
            <w:r>
              <w:rPr>
                <w:b w:val="false"/>
                <w:bCs w:val="false"/>
                <w:color w:val="1A1A1A"/>
                <w:sz w:val="19"/>
                <w:szCs w:val="19"/>
              </w:rPr>
              <w:t xml:space="preserve">Descubrimiento de problemas</w:t>
            </w:r>
          </w:p>
        </w:tc>
        <w:tc>
          <w:tcPr>
            <w:tcW w:type="pct" w:w="24%"/>
            <w:shd w:fill="F7F5F0" w:val="clear"/>
            <w:tcMar>
              <w:top w:type="dxa" w:w="60"/>
              <w:left w:type="dxa" w:w="100"/>
              <w:bottom w:type="dxa" w:w="60"/>
              <w:right w:type="dxa" w:w="100"/>
            </w:tcMar>
          </w:tcPr>
          <w:p>
            <w:r>
              <w:rPr>
                <w:b w:val="false"/>
                <w:bCs w:val="false"/>
                <w:color w:val="1A1A1A"/>
                <w:sz w:val="19"/>
                <w:szCs w:val="19"/>
              </w:rPr>
              <w:t xml:space="preserve">Diseño de problemas</w:t>
            </w:r>
          </w:p>
        </w:tc>
        <w:tc>
          <w:tcPr>
            <w:tcW w:type="pct" w:w="50%"/>
            <w:shd w:fill="F7F5F0" w:val="clear"/>
            <w:tcMar>
              <w:top w:type="dxa" w:w="60"/>
              <w:left w:type="dxa" w:w="100"/>
              <w:bottom w:type="dxa" w:w="60"/>
              <w:right w:type="dxa" w:w="100"/>
            </w:tcMar>
          </w:tcPr>
          <w:p>
            <w:r>
              <w:rPr>
                <w:b w:val="false"/>
                <w:bCs w:val="false"/>
                <w:color w:val="1A1A1A"/>
                <w:sz w:val="19"/>
                <w:szCs w:val="19"/>
              </w:rPr>
              <w:t xml:space="preserve">El artículo no descarta el descubrimiento (root causes, necesidades ocultas); propone el diseño como un enfoque adicional para cuando el problema mismo puede reinventarse.</w:t>
            </w:r>
          </w:p>
        </w:tc>
      </w:tr>
      <w:tr>
        <w:tc>
          <w:tcPr>
            <w:tcW w:type="pct" w:w="26%"/>
            <w:shd w:fill="F7F5F0" w:val="clear"/>
            <w:tcMar>
              <w:top w:type="dxa" w:w="60"/>
              <w:left w:type="dxa" w:w="100"/>
              <w:bottom w:type="dxa" w:w="60"/>
              <w:right w:type="dxa" w:w="100"/>
            </w:tcMar>
          </w:tcPr>
          <w:p>
            <w:r>
              <w:rPr>
                <w:b w:val="false"/>
                <w:bCs w:val="false"/>
                <w:color w:val="1A1A1A"/>
                <w:sz w:val="19"/>
                <w:szCs w:val="19"/>
              </w:rPr>
              <w:t xml:space="preserve">Expansión + Elevación</w:t>
            </w:r>
          </w:p>
        </w:tc>
        <w:tc>
          <w:tcPr>
            <w:tcW w:type="pct" w:w="24%"/>
            <w:shd w:fill="F7F5F0" w:val="clear"/>
            <w:tcMar>
              <w:top w:type="dxa" w:w="60"/>
              <w:left w:type="dxa" w:w="100"/>
              <w:bottom w:type="dxa" w:w="60"/>
              <w:right w:type="dxa" w:w="100"/>
            </w:tcMar>
          </w:tcPr>
          <w:p>
            <w:r>
              <w:rPr>
                <w:b w:val="false"/>
                <w:bCs w:val="false"/>
                <w:color w:val="1A1A1A"/>
                <w:sz w:val="19"/>
                <w:szCs w:val="19"/>
              </w:rPr>
              <w:t xml:space="preserve">Saltos especulativos</w:t>
            </w:r>
          </w:p>
        </w:tc>
        <w:tc>
          <w:tcPr>
            <w:tcW w:type="pct" w:w="50%"/>
            <w:shd w:fill="F7F5F0" w:val="clear"/>
            <w:tcMar>
              <w:top w:type="dxa" w:w="60"/>
              <w:left w:type="dxa" w:w="100"/>
              <w:bottom w:type="dxa" w:w="60"/>
              <w:right w:type="dxa" w:w="100"/>
            </w:tcMar>
          </w:tcPr>
          <w:p>
            <w:r>
              <w:rPr>
                <w:b w:val="false"/>
                <w:bCs w:val="false"/>
                <w:color w:val="1A1A1A"/>
                <w:sz w:val="19"/>
                <w:szCs w:val="19"/>
              </w:rPr>
              <w:t xml:space="preserve">Ambos movimientos son formas de "descontextualizar" el problema; combinados, permiten imaginar un frame nuevo en vez de solo describir el actual.</w:t>
            </w:r>
          </w:p>
        </w:tc>
      </w:tr>
      <w:tr>
        <w:tc>
          <w:tcPr>
            <w:tcW w:type="pct" w:w="26%"/>
            <w:shd w:fill="F7F5F0" w:val="clear"/>
            <w:tcMar>
              <w:top w:type="dxa" w:w="60"/>
              <w:left w:type="dxa" w:w="100"/>
              <w:bottom w:type="dxa" w:w="60"/>
              <w:right w:type="dxa" w:w="100"/>
            </w:tcMar>
          </w:tcPr>
          <w:p>
            <w:r>
              <w:rPr>
                <w:b w:val="false"/>
                <w:bCs w:val="false"/>
                <w:color w:val="1A1A1A"/>
                <w:sz w:val="19"/>
                <w:szCs w:val="19"/>
              </w:rPr>
              <w:t xml:space="preserve">Fijación / Freeze the world</w:t>
            </w:r>
          </w:p>
        </w:tc>
        <w:tc>
          <w:tcPr>
            <w:tcW w:type="pct" w:w="24%"/>
            <w:shd w:fill="F7F5F0" w:val="clear"/>
            <w:tcMar>
              <w:top w:type="dxa" w:w="60"/>
              <w:left w:type="dxa" w:w="100"/>
              <w:bottom w:type="dxa" w:w="60"/>
              <w:right w:type="dxa" w:w="100"/>
            </w:tcMar>
          </w:tcPr>
          <w:p>
            <w:r>
              <w:rPr>
                <w:b w:val="false"/>
                <w:bCs w:val="false"/>
                <w:color w:val="1A1A1A"/>
                <w:sz w:val="19"/>
                <w:szCs w:val="19"/>
              </w:rPr>
              <w:t xml:space="preserve">Necesidad de re-enmarcar</w:t>
            </w:r>
          </w:p>
        </w:tc>
        <w:tc>
          <w:tcPr>
            <w:tcW w:type="pct" w:w="50%"/>
            <w:shd w:fill="F7F5F0" w:val="clear"/>
            <w:tcMar>
              <w:top w:type="dxa" w:w="60"/>
              <w:left w:type="dxa" w:w="100"/>
              <w:bottom w:type="dxa" w:w="60"/>
              <w:right w:type="dxa" w:w="100"/>
            </w:tcMar>
          </w:tcPr>
          <w:p>
            <w:r>
              <w:rPr>
                <w:b w:val="false"/>
                <w:bCs w:val="false"/>
                <w:color w:val="1A1A1A"/>
                <w:sz w:val="19"/>
                <w:szCs w:val="19"/>
              </w:rPr>
              <w:t xml:space="preserve">Explica por qué no re-enmarcar es riesgoso: un mapa del problema construido una vez deja de ser válido si el entorno cambió y nadie lo revisó.</w:t>
            </w:r>
          </w:p>
        </w:tc>
      </w:tr>
      <w:tr>
        <w:tc>
          <w:tcPr>
            <w:tcW w:type="pct" w:w="26%"/>
            <w:shd w:fill="F7F5F0" w:val="clear"/>
            <w:tcMar>
              <w:top w:type="dxa" w:w="60"/>
              <w:left w:type="dxa" w:w="100"/>
              <w:bottom w:type="dxa" w:w="60"/>
              <w:right w:type="dxa" w:w="100"/>
            </w:tcMar>
          </w:tcPr>
          <w:p>
            <w:r>
              <w:rPr>
                <w:b w:val="false"/>
                <w:bCs w:val="false"/>
                <w:color w:val="1A1A1A"/>
                <w:sz w:val="19"/>
                <w:szCs w:val="19"/>
              </w:rPr>
              <w:t xml:space="preserve">Factores psicológicos + ambientales</w:t>
            </w:r>
          </w:p>
        </w:tc>
        <w:tc>
          <w:tcPr>
            <w:tcW w:type="pct" w:w="24%"/>
            <w:shd w:fill="F7F5F0" w:val="clear"/>
            <w:tcMar>
              <w:top w:type="dxa" w:w="60"/>
              <w:left w:type="dxa" w:w="100"/>
              <w:bottom w:type="dxa" w:w="60"/>
              <w:right w:type="dxa" w:w="100"/>
            </w:tcMar>
          </w:tcPr>
          <w:p>
            <w:r>
              <w:rPr>
                <w:b w:val="false"/>
                <w:bCs w:val="false"/>
                <w:color w:val="1A1A1A"/>
                <w:sz w:val="19"/>
                <w:szCs w:val="19"/>
              </w:rPr>
              <w:t xml:space="preserve">Selección del frame</w:t>
            </w:r>
          </w:p>
        </w:tc>
        <w:tc>
          <w:tcPr>
            <w:tcW w:type="pct" w:w="50%"/>
            <w:shd w:fill="F7F5F0" w:val="clear"/>
            <w:tcMar>
              <w:top w:type="dxa" w:w="60"/>
              <w:left w:type="dxa" w:w="100"/>
              <w:bottom w:type="dxa" w:w="60"/>
              <w:right w:type="dxa" w:w="100"/>
            </w:tcMar>
          </w:tcPr>
          <w:p>
            <w:r>
              <w:rPr>
                <w:b w:val="false"/>
                <w:bCs w:val="false"/>
                <w:color w:val="1A1A1A"/>
                <w:sz w:val="19"/>
                <w:szCs w:val="19"/>
              </w:rPr>
              <w:t xml:space="preserve">El frame elegido no es "el correcto" objetivamente — es el que mejor conecta el propósito del emprendedor con hacia dónde va cambiando el entorno.</w:t>
            </w:r>
          </w:p>
        </w:tc>
      </w:tr>
    </w:tbl>
    <w:p>
      <w:pPr>
        <w:pStyle w:val="Heading1"/>
        <w:spacing w:after="140" w:before="320"/>
      </w:pPr>
      <w:r>
        <w:t xml:space="preserve">2. Respuestas al control de lectura</w:t>
      </w:r>
    </w:p>
    <w:p>
      <w:pPr>
        <w:pStyle w:val="Heading2"/>
        <w:spacing w:after="100" w:before="220"/>
      </w:pPr>
      <w:r>
        <w:t xml:space="preserve">1. Si las máquinas resuelven los modelos cada vez mejor, ¿cuál es tu valor agregado como científico de datos al decidir qué problema merece ser resuelto y bajo qué enfoque?</w:t>
      </w:r>
    </w:p>
    <w:p>
      <w:pPr>
        <w:spacing w:after="130"/>
      </w:pPr>
      <w:r>
        <w:rPr>
          <w:sz w:val="21"/>
          <w:szCs w:val="21"/>
        </w:rPr>
        <w:t xml:space="preserve">El artículo señala explícitamente que, mientras la resolución de problemas se delega cada vez más a la inteligencia artificial, la búsqueda y formulación de problemas sigue siendo un terreno inherentemente humano, porque el propósito y los valores personales determinan si un problema se considera digno de esfuerzo (Csikszentmihalyi, 1988; Verganti et al., 2020). Como científico de datos, mi valor agregado no está en optimizar el modelo — eso lo hace la máquina cada vez mejor — sino en decidir qué pregunta merece ser modelada y por qué le importa a alguien. Eso implica practicar elevación (preguntar por qué el problema importa a las personas, no solo cómo resolverlo técnicamente) y expansión (revisar qué actores debería servir el modelo, más allá de los datos que ya tengo a mano) antes de escribir la primera línea de código.</w:t>
      </w:r>
    </w:p>
    <w:p>
      <w:pPr>
        <w:pStyle w:val="Heading2"/>
        <w:spacing w:after="100" w:before="220"/>
      </w:pPr>
      <w:r>
        <w:t xml:space="preserve">2. ¿Te limitas a analizar datos históricos para reaccionar a problemas del presente, o estás utilizando tu comprensión del mundo para diseñar experiencias que las personas aún no saben que necesitan?</w:t>
      </w:r>
    </w:p>
    <w:p>
      <w:pPr>
        <w:spacing w:after="130"/>
      </w:pPr>
      <w:r>
        <w:rPr>
          <w:sz w:val="21"/>
          <w:szCs w:val="21"/>
        </w:rPr>
        <w:t xml:space="preserve">Esta pregunta refleja directamente la distinción del artículo entre descubrimiento de problemas (retrospectivo, basado en diagnóstico de datos históricos y causas raíz) y diseño de problemas (prospectivo, basado en "prognosis" y saltos especulativos sobre necesidades futuras). El caso del iPhone ilustra esto: no se construyó para resolver un problema existente de los celulares, sino para proponer experiencias radicalmente nuevas que los usuarios aún no habían pedido.</w:t>
      </w:r>
    </w:p>
    <w:p>
      <w:pPr>
        <w:spacing w:after="130"/>
      </w:pPr>
      <w:r>
        <w:rPr>
          <w:sz w:val="21"/>
          <w:szCs w:val="21"/>
        </w:rPr>
        <w:t xml:space="preserve">Honestamente, la mayor parte del trabajo típico de un científico de datos (análisis exploratorio, modelos predictivos sobre datos históricos, dashboards reactivos) cae del lado del descubrimiento — es valioso, pero es diagnóstico, no diseño. Para moverme hacia el diseño de experiencias, tendría que usar mi comprensión del contexto (hacia dónde cambia la tecnología, la cultura, el comportamiento) para especular sobre necesidades que los datos actuales todavía no muestran, en vez de esperar a que aparezcan en el histórico.</w:t>
      </w:r>
    </w:p>
    <w:p>
      <w:pPr>
        <w:pStyle w:val="Heading2"/>
        <w:spacing w:after="100" w:before="220"/>
      </w:pPr>
      <w:r>
        <w:t xml:space="preserve">3. ¿Qué es el Freeze the world syndrome?</w:t>
      </w:r>
    </w:p>
    <w:p>
      <w:pPr>
        <w:spacing w:after="130"/>
      </w:pPr>
      <w:r>
        <w:rPr>
          <w:sz w:val="21"/>
          <w:szCs w:val="21"/>
        </w:rPr>
        <w:t xml:space="preserve">Es un término acuñado por Dorst (2015) y citado en el artículo: describe la tendencia a aislar y congelar la definición de un problema, como si el mundo dejara de moverse en el momento en que se formuló, cuando en realidad las "reglas del juego" (el entorno social, cultural y tecnológico) siguen cambiando todo el tiempo. El resultado son mapas del problema con fecha de caducidad corta, que se vuelven irrelevantes cuando el macroentorno cambia de forma significativa. El ejemplo del artículo es Kodak: quedó fijado en la idea de que una foto sirve para "preservar memoria", y no vio que el significado de la fotografía se estaba desplazando hacia la comunicación en tiempo real y la autoexpresión — el espacio que terminó ganando Instagram.</w:t>
      </w:r>
    </w:p>
    <w:p>
      <w:pPr>
        <w:pStyle w:val="Heading2"/>
        <w:spacing w:after="100" w:before="220"/>
      </w:pPr>
      <w:r>
        <w:t xml:space="preserve">4. ¿Están buscando la causa raíz de un problema o descubriendo por qué importa? (Elevation)</w:t>
      </w:r>
    </w:p>
    <w:p>
      <w:pPr>
        <w:spacing w:after="130"/>
      </w:pPr>
      <w:r>
        <w:rPr>
          <w:sz w:val="21"/>
          <w:szCs w:val="21"/>
        </w:rPr>
        <w:t xml:space="preserve">El artículo distingue explícitamente estos dos tipos de "por qué". La pregunta "¿por qué ocurre el problema?" (técnica de los cinco porqués, usada por ejemplo en Toyota) es un análisis de causa raíz: retrospectivo, busca el origen del problema. La pregunta "¿por qué importa el problema?", repetida en cadena (elevación), es distinta: explora la relevancia del problema en la vida de las personas y asciende hacia valores humanos universales — no busca el origen, busca el sentido.</w:t>
      </w:r>
    </w:p>
    <w:p>
      <w:pPr>
        <w:spacing w:after="130"/>
      </w:pPr>
      <w:r>
        <w:rPr>
          <w:sz w:val="21"/>
          <w:szCs w:val="21"/>
        </w:rPr>
        <w:t xml:space="preserve">El ejemplo del taladro lo muestra bien: nadie quiere un taladro, quiere un hueco; nadie quiere el hueco en sí, quiere colgar una foto; y no es la foto lo que importa, sino preservar y compartir un recuerdo con la familia. Cada "por qué" no explica de dónde viene el problema, sino por qué a alguien le importa resolverlo. Esta pregunta invita a revisar el propio proyecto: si uno se queda solo en el diagnóstico técnico (dónde falla el proceso, qué variable lo explica), está haciendo análisis de causa raíz; si además pregunta por qué ese resultado le importa a una persona real, está haciendo elevación.</w:t>
      </w:r>
    </w:p>
    <w:p>
      <w:pPr>
        <w:pStyle w:val="Heading2"/>
        <w:spacing w:after="100" w:before="220"/>
      </w:pPr>
      <w:r>
        <w:t xml:space="preserve">5. ¿A quién más están dejando fuera de la ecuación de datos?</w:t>
      </w:r>
    </w:p>
    <w:p>
      <w:pPr>
        <w:spacing w:after="130"/>
      </w:pPr>
      <w:r>
        <w:rPr>
          <w:sz w:val="21"/>
          <w:szCs w:val="21"/>
        </w:rPr>
        <w:t xml:space="preserve">Esta pregunta corresponde al concepto de expansión del problema: el artículo cita a Dorst (2015) señalando que, más allá del círculo evidente de actores "en juego", existe un campo más amplio de partes que no han participado en la situación del problema hasta ahora, pero que tendrían un interés directo si el problema se enmarcara de otra manera. En el caso del maratón de Eindhoven, esos actores dejados fuera inicialmente (las empresas tecnológicas de la región) terminaron siendo la clave para reformular el problema por completo.</w:t>
      </w:r>
    </w:p>
    <w:p>
      <w:pPr>
        <w:spacing w:after="130"/>
      </w:pPr>
      <w:r>
        <w:rPr>
          <w:sz w:val="21"/>
          <w:szCs w:val="21"/>
        </w:rPr>
        <w:t xml:space="preserve">Traducido a la ecuación de datos: no basta con preguntar qué variables tengo, sino quién no está representado en esos datos — usuarios poco muestreados, partes interesadas indirectas, o beneficiarios futuros que aún no generan datos porque el producto ni siquiera existe todavía. El otro documento del curso, sobre alerta a la creación de valor, refuerza este mismo punto desde otro ángulo: advierte que la creación de valor multidimensional va más allá de considerar a los clientes como únicos beneficiarios, y menciona explícitamente la defensa de actores que no pueden expresarse por sí mismos, como el medioambiente o comunidades marginadas — otra forma de nombrar a quienes quedan fuera de la ecuación de datos si solo se optimiza para el usuario que ya está generando datos.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2026-08-28T17:42:00.263Z</dcterms:created>
  <dcterms:modified xsi:type="dcterms:W3CDTF">2026-08-28T17:42:00.265Z</dcterms:modified>
</cp:coreProperties>
</file>

<file path=docProps/custom.xml><?xml version="1.0" encoding="utf-8"?>
<Properties xmlns="http://schemas.openxmlformats.org/officeDocument/2006/custom-properties" xmlns:vt="http://schemas.openxmlformats.org/officeDocument/2006/docPropsVTypes"/>
</file>