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i w:val="0"/>
          <w:color w:val="0B3C5D"/>
          <w:sz w:val="36"/>
        </w:rPr>
        <w:t>PORTAFOLIO ESTRATÉGICO DE PROYECTO: STATCREDIT AI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4F8"/>
            <w:tcMar>
              <w:top w:w="100" w:type="dxa"/>
              <w:bottom w:w="100" w:type="dxa"/>
              <w:left w:w="180" w:type="dxa"/>
              <w:right w:w="140" w:type="dxa"/>
            </w:tcMar>
            <w:tcBorders>
              <w:top w:val="none"/>
              <w:left w:val="single" w:sz="24" w:space="0" w:color="0B3C5D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B3C5D"/>
                <w:sz w:val="21"/>
              </w:rPr>
              <w:t>“No buscamos cambiar quién puede acceder al crédito; buscamos cambiar la forma en que se mide quién puede pagarlo.”</w:t>
            </w:r>
          </w:p>
        </w:tc>
      </w:tr>
    </w:tbl>
    <w:p>
      <w:pPr>
        <w:spacing w:before="0" w:after="60"/>
      </w:pPr>
    </w:p>
    <w:p>
      <w:pPr>
        <w:spacing w:before="120" w:after="120"/>
        <w:pBdr>
          <w:bottom w:val="single" w:sz="6" w:space="1" w:color="0B3C5D"/>
        </w:pBdr>
      </w:pPr>
    </w:p>
    <w:p>
      <w:pPr>
        <w:keepNext/>
        <w:spacing w:before="180" w:after="60"/>
      </w:pPr>
      <w:r>
        <w:rPr>
          <w:rFonts w:ascii="Calibri" w:hAnsi="Calibri"/>
          <w:b/>
          <w:i w:val="0"/>
          <w:color w:val="324B64"/>
          <w:sz w:val="24"/>
        </w:rPr>
        <w:t>FICHA TÉCNICA DEL PROYECTO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sz w:val="21"/>
        </w:rPr>
        <w:t>Nombre de la Iniciativa:</w:t>
      </w:r>
      <w:r>
        <w:rPr>
          <w:rFonts w:ascii="Calibri" w:hAnsi="Calibri"/>
          <w:b w:val="0"/>
          <w:i w:val="0"/>
          <w:sz w:val="21"/>
        </w:rPr>
        <w:t xml:space="preserve"> StatCredit AI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sz w:val="21"/>
        </w:rPr>
        <w:t>Naturaleza del Emprendimiento:</w:t>
      </w:r>
      <w:r>
        <w:rPr>
          <w:rFonts w:ascii="Calibri" w:hAnsi="Calibri"/>
          <w:b w:val="0"/>
          <w:i w:val="0"/>
          <w:sz w:val="21"/>
        </w:rPr>
        <w:t xml:space="preserve"> Plataforma SaaS B2B / API-First de Scoring Alternativo, Inferencia Causal y Perfilamiento de Riesgo Financiero.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sz w:val="21"/>
        </w:rPr>
        <w:t>Sector:</w:t>
      </w:r>
      <w:r>
        <w:rPr>
          <w:rFonts w:ascii="Calibri" w:hAnsi="Calibri"/>
          <w:b w:val="0"/>
          <w:i w:val="0"/>
          <w:sz w:val="21"/>
        </w:rPr>
        <w:t xml:space="preserve"> Fintech / Data Science / RegTech / Inclusión Financiera.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sz w:val="21"/>
        </w:rPr>
        <w:t>Mercado Objetivo Inicial:</w:t>
      </w:r>
      <w:r>
        <w:rPr>
          <w:rFonts w:ascii="Calibri" w:hAnsi="Calibri"/>
          <w:b w:val="0"/>
          <w:i w:val="0"/>
          <w:sz w:val="21"/>
        </w:rPr>
        <w:t xml:space="preserve"> Entidades Financieras, Neobancos, Cooperativas y Fintechs de Crédito y Originación en Colombia.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sz w:val="21"/>
        </w:rPr>
        <w:t>Equipo Fundador (Grupo 5):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1. </w:t>
      </w:r>
      <w:r>
        <w:rPr>
          <w:rFonts w:ascii="Calibri" w:hAnsi="Calibri"/>
          <w:b/>
          <w:sz w:val="21"/>
        </w:rPr>
        <w:t>Santiago Sandoval</w:t>
      </w:r>
      <w:r>
        <w:rPr>
          <w:rFonts w:ascii="Calibri" w:hAnsi="Calibri"/>
          <w:b w:val="0"/>
          <w:i w:val="0"/>
          <w:sz w:val="21"/>
        </w:rPr>
        <w:t xml:space="preserve"> – Lead Data Scientist &amp; Causal Machine Learning Engineer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2. </w:t>
      </w:r>
      <w:r>
        <w:rPr>
          <w:rFonts w:ascii="Calibri" w:hAnsi="Calibri"/>
          <w:b/>
          <w:sz w:val="21"/>
        </w:rPr>
        <w:t>Sebastián Ramos</w:t>
      </w:r>
      <w:r>
        <w:rPr>
          <w:rFonts w:ascii="Calibri" w:hAnsi="Calibri"/>
          <w:b w:val="0"/>
          <w:i w:val="0"/>
          <w:sz w:val="21"/>
        </w:rPr>
        <w:t xml:space="preserve"> – Chief Strategy Officer (CSO) &amp; Financial Product Manager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3. </w:t>
      </w:r>
      <w:r>
        <w:rPr>
          <w:rFonts w:ascii="Calibri" w:hAnsi="Calibri"/>
          <w:b/>
          <w:sz w:val="21"/>
        </w:rPr>
        <w:t>Julián Duarte</w:t>
      </w:r>
      <w:r>
        <w:rPr>
          <w:rFonts w:ascii="Calibri" w:hAnsi="Calibri"/>
          <w:b w:val="0"/>
          <w:i w:val="0"/>
          <w:sz w:val="21"/>
        </w:rPr>
        <w:t xml:space="preserve"> – Lead Data &amp; Feature Engineer / Quality Assurance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4. </w:t>
      </w:r>
      <w:r>
        <w:rPr>
          <w:rFonts w:ascii="Calibri" w:hAnsi="Calibri"/>
          <w:b/>
          <w:sz w:val="21"/>
        </w:rPr>
        <w:t>Tomás Rincón</w:t>
      </w:r>
      <w:r>
        <w:rPr>
          <w:rFonts w:ascii="Calibri" w:hAnsi="Calibri"/>
          <w:b w:val="0"/>
          <w:i w:val="0"/>
          <w:sz w:val="21"/>
        </w:rPr>
        <w:t xml:space="preserve"> – Head of MLOps &amp; Cloud Infrastructure Architect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5. </w:t>
      </w:r>
      <w:r>
        <w:rPr>
          <w:rFonts w:ascii="Calibri" w:hAnsi="Calibri"/>
          <w:b/>
          <w:sz w:val="21"/>
        </w:rPr>
        <w:t>Julián Jiménez</w:t>
      </w:r>
      <w:r>
        <w:rPr>
          <w:rFonts w:ascii="Calibri" w:hAnsi="Calibri"/>
          <w:b w:val="0"/>
          <w:i w:val="0"/>
          <w:sz w:val="21"/>
        </w:rPr>
        <w:t xml:space="preserve"> – Head of UX/UI &amp; Explainable AI (XAI) Data Storyteller</w:t>
      </w:r>
    </w:p>
    <w:p>
      <w:pPr>
        <w:spacing w:before="120" w:after="120"/>
        <w:pBdr>
          <w:bottom w:val="single" w:sz="6" w:space="1" w:color="0B3C5D"/>
        </w:pBdr>
      </w:pP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D5D9B"/>
          <w:sz w:val="28"/>
        </w:rPr>
        <w:t>1. RESUMEN EJECUTIVO Y REENCUADRE ESTRATÉGICO</w:t>
      </w:r>
    </w:p>
    <w:p>
      <w:pPr>
        <w:keepNext/>
        <w:spacing w:before="180" w:after="60"/>
      </w:pPr>
      <w:r>
        <w:rPr>
          <w:rFonts w:ascii="Calibri" w:hAnsi="Calibri"/>
          <w:b/>
          <w:i w:val="0"/>
          <w:color w:val="324B64"/>
          <w:sz w:val="24"/>
        </w:rPr>
        <w:t>1.1. Comprensión Profunda de la Problemática</w:t>
      </w:r>
    </w:p>
    <w:p>
      <w:pPr>
        <w:spacing w:before="40" w:after="60" w:line="276" w:lineRule="auto"/>
      </w:pPr>
      <w:r>
        <w:rPr>
          <w:rFonts w:ascii="Calibri" w:hAnsi="Calibri"/>
          <w:b w:val="0"/>
          <w:i w:val="0"/>
          <w:sz w:val="21"/>
        </w:rPr>
        <w:t>En Colombia, más del 50% de la fuerza laboral económicamente activa opera por cuenta propia o en micronegocios, careciendo de un empleador formal que certifique sus ingresos de manera periódica, predecible y estandarizada. Tradicionalmente, el sistema financiero ha tratado al trabajador independiente como un bloque homogéneo de alto riesgo crediticio, castigándolo con el rechazo sistemático de solicitudes o con primas de riesgo excesivamente onerosas que rozan o superan la tasa de usura.</w:t>
      </w:r>
    </w:p>
    <w:p>
      <w:pPr>
        <w:spacing w:before="40" w:after="60" w:line="276" w:lineRule="auto"/>
      </w:pPr>
      <w:r>
        <w:rPr>
          <w:rFonts w:ascii="Calibri" w:hAnsi="Calibri"/>
          <w:b w:val="0"/>
          <w:i w:val="0"/>
          <w:sz w:val="21"/>
        </w:rPr>
        <w:t xml:space="preserve">No obstante, un análisis riguroso de microdatos revela que </w:t>
      </w:r>
      <w:r>
        <w:rPr>
          <w:rFonts w:ascii="Calibri" w:hAnsi="Calibri"/>
          <w:b/>
          <w:sz w:val="21"/>
        </w:rPr>
        <w:t>la variabilidad del ingreso no es uniforme ni caótica</w:t>
      </w:r>
      <w:r>
        <w:rPr>
          <w:rFonts w:ascii="Calibri" w:hAnsi="Calibri"/>
          <w:b w:val="0"/>
          <w:i w:val="0"/>
          <w:sz w:val="21"/>
        </w:rPr>
        <w:t>: está estrechamente modulada por la actividad económica, la estacionalidad del sector, el ciclo vital, la madurez operativa y la ubicación geográfica. Existen múltiples subsegmentos de trabajadores por cuenta propia y micronegocios cuyos flujos de caja netos presentan índices de regularidad y capacidad de pago equivalentes o incluso superiores a los de asalariados con contratos a término fijo o salario mínimo. El verdadero obstáculo no es la falta de solvencia del independiente, sino la miopía analítica de las metodologías tradicionales de evaluación de riesgo.</w:t>
      </w:r>
    </w:p>
    <w:p>
      <w:pPr>
        <w:keepNext/>
        <w:spacing w:before="180" w:after="60"/>
      </w:pPr>
      <w:r>
        <w:rPr>
          <w:rFonts w:ascii="Calibri" w:hAnsi="Calibri"/>
          <w:b/>
          <w:i w:val="0"/>
          <w:color w:val="324B64"/>
          <w:sz w:val="24"/>
        </w:rPr>
        <w:t>1.2. Audiencia Ejecutiva Específica</w:t>
      </w:r>
    </w:p>
    <w:p>
      <w:pPr>
        <w:spacing w:before="40" w:after="60" w:line="276" w:lineRule="auto"/>
      </w:pPr>
      <w:r>
        <w:rPr>
          <w:rFonts w:ascii="Calibri" w:hAnsi="Calibri"/>
          <w:b w:val="0"/>
          <w:i w:val="0"/>
          <w:sz w:val="21"/>
        </w:rPr>
        <w:t xml:space="preserve">El portafolio de StatCredit AI está dirigido directamente a los </w:t>
      </w:r>
      <w:r>
        <w:rPr>
          <w:rFonts w:ascii="Calibri" w:hAnsi="Calibri"/>
          <w:b/>
          <w:sz w:val="21"/>
        </w:rPr>
        <w:t>Comités de Riesgo de Crédito, Vicepresidencias de Originación y Líderes de Producto de Fintechs y Neobancos</w:t>
      </w:r>
      <w:r>
        <w:rPr>
          <w:rFonts w:ascii="Calibri" w:hAnsi="Calibri"/>
          <w:b w:val="0"/>
          <w:i w:val="0"/>
          <w:sz w:val="21"/>
        </w:rPr>
        <w:t xml:space="preserve"> en Colombia. Estos equipos se enfrentan a una doble presión en el contexto macroeconómico actual: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1. </w:t>
      </w:r>
      <w:r>
        <w:rPr>
          <w:rFonts w:ascii="Calibri" w:hAnsi="Calibri"/>
          <w:b w:val="0"/>
          <w:i w:val="0"/>
          <w:sz w:val="21"/>
        </w:rPr>
        <w:t>Necesidad urgente de expandir el volumen de colocación de cartera para sostener su crecimiento e ingresos financieros.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2. </w:t>
      </w:r>
      <w:r>
        <w:rPr>
          <w:rFonts w:ascii="Calibri" w:hAnsi="Calibri"/>
          <w:b w:val="0"/>
          <w:i w:val="0"/>
          <w:sz w:val="21"/>
        </w:rPr>
        <w:t>Obligación estricta de mantener bajo control los Indicadores de Cartera Vencida (ICV) y el Costo de Riesgo (</w:t>
      </w:r>
      <w:r>
        <w:rPr>
          <w:rFonts w:ascii="Calibri" w:hAnsi="Calibri"/>
          <w:i/>
          <w:sz w:val="21"/>
        </w:rPr>
        <w:t>Cost of Risk</w:t>
      </w:r>
      <w:r>
        <w:rPr>
          <w:rFonts w:ascii="Calibri" w:hAnsi="Calibri"/>
          <w:b w:val="0"/>
          <w:i w:val="0"/>
          <w:sz w:val="21"/>
        </w:rPr>
        <w:t>), salvaguardando el capital ante los requerimientos de la Superintendencia Financiera de Colombia (SFC).</w:t>
      </w:r>
    </w:p>
    <w:p>
      <w:pPr>
        <w:keepNext/>
        <w:spacing w:before="180" w:after="60"/>
      </w:pPr>
      <w:r>
        <w:rPr>
          <w:rFonts w:ascii="Calibri" w:hAnsi="Calibri"/>
          <w:b/>
          <w:i w:val="0"/>
          <w:color w:val="324B64"/>
          <w:sz w:val="24"/>
        </w:rPr>
        <w:t>1.3. Decisiones de Negocio y Riesgo que Apoya StatCredit AI</w:t>
      </w:r>
    </w:p>
    <w:p>
      <w:pPr>
        <w:spacing w:before="40" w:after="60" w:line="276" w:lineRule="auto"/>
      </w:pPr>
      <w:r>
        <w:rPr>
          <w:rFonts w:ascii="Calibri" w:hAnsi="Calibri"/>
          <w:b w:val="0"/>
          <w:i w:val="0"/>
          <w:sz w:val="21"/>
        </w:rPr>
        <w:t>StatCredit AI provee la infraestructura analítica para transformar decisiones intuitivas o defensivas en políticas cuantitativas de alta precisión: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sz w:val="21"/>
        </w:rPr>
        <w:t>Priorización de Subsegmentos Rentables:</w:t>
      </w:r>
      <w:r>
        <w:rPr>
          <w:rFonts w:ascii="Calibri" w:hAnsi="Calibri"/>
          <w:b w:val="0"/>
          <w:i w:val="0"/>
          <w:sz w:val="21"/>
        </w:rPr>
        <w:t xml:space="preserve"> Permite determinar a qué perfiles y sectores de trabajadores independientes colocar crédito con tasas competitivas y cupos ampliados, apalancándose en la regularidad empírica de sus ingresos en lugar de exigir un contrato laboral.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sz w:val="21"/>
        </w:rPr>
        <w:t>Graduación Dinámica de Verificación de Ingresos:</w:t>
      </w:r>
      <w:r>
        <w:rPr>
          <w:rFonts w:ascii="Calibri" w:hAnsi="Calibri"/>
          <w:b w:val="0"/>
          <w:i w:val="0"/>
          <w:sz w:val="21"/>
        </w:rPr>
        <w:t xml:space="preserve"> Reemplaza la solicitud masiva y friccionada de extractos bancarios extensos o declaraciones tributarias formales por modelos de verificación diferenciada: si el flujo transaccional y los patrones del sector proyectan predictibilidad estadística, la originación se ejecuta en segundos sin fricción documental.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sz w:val="21"/>
        </w:rPr>
        <w:t>Diseño de Productos Financieros Adaptativos:</w:t>
      </w:r>
      <w:r>
        <w:rPr>
          <w:rFonts w:ascii="Calibri" w:hAnsi="Calibri"/>
          <w:b w:val="0"/>
          <w:i w:val="0"/>
          <w:sz w:val="21"/>
        </w:rPr>
        <w:t xml:space="preserve"> Habilita a las fintechs a crear líneas de microcrédito e inversión con cronogramas de amortización sincronizados con los ciclos reales de liquidez del cliente (por ejemplo, pagos quincenales, mensuales o estacionales según el sector agrícola, comercial o de servicios).</w:t>
      </w:r>
    </w:p>
    <w:p>
      <w:pPr>
        <w:keepNext/>
        <w:spacing w:before="180" w:after="60"/>
      </w:pPr>
      <w:r>
        <w:rPr>
          <w:rFonts w:ascii="Calibri" w:hAnsi="Calibri"/>
          <w:b/>
          <w:i w:val="0"/>
          <w:color w:val="324B64"/>
          <w:sz w:val="24"/>
        </w:rPr>
        <w:t>1.4. Pregunta Analítica Principal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4F8"/>
            <w:tcMar>
              <w:top w:w="100" w:type="dxa"/>
              <w:bottom w:w="100" w:type="dxa"/>
              <w:left w:w="180" w:type="dxa"/>
              <w:right w:w="140" w:type="dxa"/>
            </w:tcMar>
            <w:tcBorders>
              <w:top w:val="none"/>
              <w:left w:val="single" w:sz="24" w:space="0" w:color="0B3C5D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B3C5D"/>
                <w:sz w:val="21"/>
              </w:rPr>
              <w:t>¿Cómo varían la magnitud y la estabilidad del ingreso mensual de los trabajadores independientes en Colombia según su sector económico, rango de edad y región geográfica, y qué subsegmentos presentan niveles de regularidad comparables a los del empleo formal asalariado?</w:t>
            </w:r>
          </w:p>
        </w:tc>
      </w:tr>
    </w:tbl>
    <w:p>
      <w:pPr>
        <w:spacing w:before="0" w:after="60"/>
      </w:pPr>
    </w:p>
    <w:p>
      <w:pPr>
        <w:spacing w:before="120" w:after="120"/>
        <w:pBdr>
          <w:bottom w:val="single" w:sz="6" w:space="1" w:color="0B3C5D"/>
        </w:pBdr>
      </w:pPr>
    </w:p>
    <w:p>
      <w:pPr>
        <w:keepNext/>
        <w:spacing w:before="180" w:after="60"/>
      </w:pPr>
      <w:r>
        <w:rPr>
          <w:rFonts w:ascii="Calibri" w:hAnsi="Calibri"/>
          <w:b/>
          <w:i w:val="0"/>
          <w:color w:val="324B64"/>
          <w:sz w:val="24"/>
        </w:rPr>
        <w:t>1.5. Reencuadre Estratégico del Problema (Problem Reframing)</w:t>
      </w:r>
    </w:p>
    <w:p>
      <w:pPr>
        <w:spacing w:before="40" w:after="60" w:line="276" w:lineRule="auto"/>
      </w:pPr>
      <w:r>
        <w:rPr>
          <w:rFonts w:ascii="Calibri" w:hAnsi="Calibri"/>
          <w:b w:val="0"/>
          <w:i w:val="0"/>
          <w:sz w:val="21"/>
        </w:rPr>
        <w:t>Siguiendo las metodologías contemporáneas de innovación y reframing (Bianchi &amp; Verganti, 2021), StatCredit AI desarticula la perspectiva defensiva del sistema financiero para revelar una oportunidad multimillonaria de mercado desatendido: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0B3C5D"/>
              <w:left w:val="single" w:sz="24" w:space="0" w:color="0B3C5D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B263B"/>
                <w:sz w:val="17"/>
              </w:rPr>
              <w:t>[ PROBLEMA VISIBLE TRADICIONAL ]</w:t>
              <w:br/>
              <w:t>"Los trabajadores independientes son intrínsecamente riesgosos porque no poseen estabilidad laboral, carecen de certificaciones de nómina y tienen historiales crediticios fragmentados."</w:t>
              <w:br/>
              <w:t xml:space="preserve">                                    │</w:t>
              <w:br/>
              <w:t xml:space="preserve">                                    ▼ [ REENCUADRE ANALÍTICO STATCREDIT AI ]</w:t>
              <w:br/>
              <w:t>"Existe una vasta población de independientes y microempresarios altamente solventes y predecibles; la incapacidad de prestarles radica en que las herramientas tradicionales de scoring confunden la falta de datos contractuales con la certeza de un alto riesgo de impago."</w:t>
            </w:r>
          </w:p>
        </w:tc>
      </w:tr>
    </w:tbl>
    <w:p>
      <w:pPr>
        <w:spacing w:before="0" w:after="80"/>
      </w:pPr>
    </w:p>
    <w:p>
      <w:pPr>
        <w:keepNext/>
        <w:spacing w:before="140" w:after="40"/>
      </w:pPr>
      <w:r>
        <w:rPr>
          <w:rFonts w:ascii="Calibri" w:hAnsi="Calibri"/>
          <w:b/>
          <w:i w:val="0"/>
          <w:color w:val="465A6E"/>
          <w:sz w:val="22"/>
        </w:rPr>
        <w:t>Los 4 Pilares Fundamentales del Reencuadre: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0C8D0"/>
          <w:left w:val="none"/>
          <w:bottom w:val="single" w:sz="4" w:space="0" w:color="C0C8D0"/>
          <w:right w:val="none"/>
          <w:insideH w:val="single" w:sz="4" w:space="0" w:color="C0C8D0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0B3C5D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Pilar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0B3C5D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Paradigma Tradicional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0B3C5D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Reencuadre StatCredit AI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282C34"/>
                <w:sz w:val="18"/>
              </w:rPr>
              <w:t>1. Enfoque (*Focus*)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82C34"/>
                <w:sz w:val="18"/>
              </w:rPr>
              <w:t xml:space="preserve">Evalúa la estabilidad según la </w:t>
            </w:r>
            <w:r>
              <w:rPr>
                <w:rFonts w:ascii="Calibri" w:hAnsi="Calibri"/>
                <w:b/>
                <w:color w:val="282C34"/>
                <w:sz w:val="18"/>
              </w:rPr>
              <w:t>naturaleza contractual</w:t>
            </w:r>
            <w:r>
              <w:rPr>
                <w:rFonts w:ascii="Calibri" w:hAnsi="Calibri"/>
                <w:b w:val="0"/>
                <w:i w:val="0"/>
                <w:color w:val="282C34"/>
                <w:sz w:val="18"/>
              </w:rPr>
              <w:t xml:space="preserve"> (asalariado vs. independiente).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82C34"/>
                <w:sz w:val="18"/>
              </w:rPr>
              <w:t xml:space="preserve">Evalúa la solvencia según la </w:t>
            </w:r>
            <w:r>
              <w:rPr>
                <w:rFonts w:ascii="Calibri" w:hAnsi="Calibri"/>
                <w:b/>
                <w:color w:val="282C34"/>
                <w:sz w:val="18"/>
              </w:rPr>
              <w:t>estabilidad matemática del flujo de caja</w:t>
            </w:r>
            <w:r>
              <w:rPr>
                <w:rFonts w:ascii="Calibri" w:hAnsi="Calibri"/>
                <w:b w:val="0"/>
                <w:i w:val="0"/>
                <w:color w:val="282C34"/>
                <w:sz w:val="18"/>
              </w:rPr>
              <w:t xml:space="preserve"> y la recurrencia transaccional.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9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282C34"/>
                <w:sz w:val="18"/>
              </w:rPr>
              <w:t>2. Mecanismo (*Mechanism*)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9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82C34"/>
                <w:sz w:val="18"/>
              </w:rPr>
              <w:t>Scoring estático basado en reportes de buró (Datacrédito/CIFIN) y extractos PDF.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9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82C34"/>
                <w:sz w:val="18"/>
              </w:rPr>
              <w:t xml:space="preserve">Motor de </w:t>
            </w:r>
            <w:r>
              <w:rPr>
                <w:rFonts w:ascii="Calibri" w:hAnsi="Calibri"/>
                <w:b/>
                <w:color w:val="282C34"/>
                <w:sz w:val="18"/>
              </w:rPr>
              <w:t>inferencia causal bayesiana</w:t>
            </w:r>
            <w:r>
              <w:rPr>
                <w:rFonts w:ascii="Calibri" w:hAnsi="Calibri"/>
                <w:b w:val="0"/>
                <w:i w:val="0"/>
                <w:color w:val="282C34"/>
                <w:sz w:val="18"/>
              </w:rPr>
              <w:t>, procesamiento de datos alternativos (facturación DIAN, billeteras digitales, servicios) en tiempo real.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282C34"/>
                <w:sz w:val="18"/>
              </w:rPr>
              <w:t>3. Marco (*Frame*)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82C34"/>
                <w:sz w:val="18"/>
              </w:rPr>
              <w:t>Ve al sector independiente como un problema de "riesgo de crédito / inclusión social benéfica".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82C34"/>
                <w:sz w:val="18"/>
              </w:rPr>
              <w:t xml:space="preserve">Ve al sector independiente como un </w:t>
            </w:r>
            <w:r>
              <w:rPr>
                <w:rFonts w:ascii="Calibri" w:hAnsi="Calibri"/>
                <w:b/>
                <w:color w:val="282C34"/>
                <w:sz w:val="18"/>
              </w:rPr>
              <w:t>mercado desatendido de alto rendimiento ajustado al riesgo (*Risk-Adjusted Return*)</w:t>
            </w:r>
            <w:r>
              <w:rPr>
                <w:rFonts w:ascii="Calibri" w:hAnsi="Calibri"/>
                <w:b w:val="0"/>
                <w:i w:val="0"/>
                <w:color w:val="282C34"/>
                <w:sz w:val="18"/>
              </w:rPr>
              <w:t>.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9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282C34"/>
                <w:sz w:val="18"/>
              </w:rPr>
              <w:t>4. Método (*Method*)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9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82C34"/>
                <w:sz w:val="18"/>
              </w:rPr>
              <w:t>Regla de corte rígida y binaria (Aprobado / Rechazado bajo umbral de puntaje lineal).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9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282C34"/>
                <w:sz w:val="18"/>
              </w:rPr>
              <w:t>Segmentación dinámica no lineal</w:t>
            </w:r>
            <w:r>
              <w:rPr>
                <w:rFonts w:ascii="Calibri" w:hAnsi="Calibri"/>
                <w:b w:val="0"/>
                <w:i w:val="0"/>
                <w:color w:val="282C34"/>
                <w:sz w:val="18"/>
              </w:rPr>
              <w:t>, pricing adaptativo según elasticidad de riesgo y calibración de probabilidades continuas.</w:t>
            </w:r>
          </w:p>
        </w:tc>
      </w:tr>
    </w:tbl>
    <w:p>
      <w:pPr>
        <w:spacing w:before="0" w:after="80"/>
      </w:pPr>
    </w:p>
    <w:p>
      <w:pPr>
        <w:spacing w:before="120" w:after="120"/>
        <w:pBdr>
          <w:bottom w:val="single" w:sz="6" w:space="1" w:color="0B3C5D"/>
        </w:pBdr>
      </w:pPr>
    </w:p>
    <w:p>
      <w:pPr>
        <w:keepNext/>
        <w:spacing w:before="180" w:after="60"/>
      </w:pPr>
      <w:r>
        <w:rPr>
          <w:rFonts w:ascii="Calibri" w:hAnsi="Calibri"/>
          <w:b/>
          <w:i w:val="0"/>
          <w:color w:val="324B64"/>
          <w:sz w:val="24"/>
        </w:rPr>
        <w:t>1.6. Aplicación Práctica de los 4 Métodos de Reencuadre</w:t>
      </w:r>
    </w:p>
    <w:p>
      <w:pPr>
        <w:keepNext/>
        <w:spacing w:before="140" w:after="40"/>
      </w:pPr>
      <w:r>
        <w:rPr>
          <w:rFonts w:ascii="Calibri" w:hAnsi="Calibri"/>
          <w:b/>
          <w:i w:val="0"/>
          <w:color w:val="465A6E"/>
          <w:sz w:val="22"/>
        </w:rPr>
        <w:t>Método 1: De Déficit a Potencial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sz w:val="21"/>
        </w:rPr>
        <w:t>Enfoque de Déficit: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alibri" w:hAnsi="Calibri"/>
          <w:i/>
          <w:sz w:val="21"/>
        </w:rPr>
        <w:t>“El solicitante carece de certificado laboral, no cotiza regularmente a pensión sobre nómina fija y no tiene historial crediticio bancario previo (Score = Nulo).”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sz w:val="21"/>
        </w:rPr>
        <w:t>Enfoque de Potencial (StatCredit AI):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alibri" w:hAnsi="Calibri"/>
          <w:i/>
          <w:sz w:val="21"/>
        </w:rPr>
        <w:t>“El solicitante cuenta con un historial transaccional de 14 meses en ecosistemas digitales, con un saldo medio mensual ponderado de $2.800.000 COP, 42 clientes recurrentes identificados mediante transferencias inmediatas y una tasa de retención de ventas del 88% intermensual.”</w:t>
      </w:r>
    </w:p>
    <w:p>
      <w:pPr>
        <w:keepNext/>
        <w:spacing w:before="140" w:after="40"/>
      </w:pPr>
      <w:r>
        <w:rPr>
          <w:rFonts w:ascii="Calibri" w:hAnsi="Calibri"/>
          <w:b/>
          <w:i w:val="0"/>
          <w:color w:val="465A6E"/>
          <w:sz w:val="22"/>
        </w:rPr>
        <w:t>Método 2: De Problema a Oportunidad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sz w:val="21"/>
        </w:rPr>
        <w:t>Enfoque de Problema: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alibri" w:hAnsi="Calibri"/>
          <w:i/>
          <w:sz w:val="21"/>
        </w:rPr>
        <w:t>“La volatilidad en los ingresos del trabajador independiente imposibilita fijar una cuota mensual constante sin elevar la probabilidad de default.”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sz w:val="21"/>
        </w:rPr>
        <w:t>Enfoque de Oportunidad (StatCredit AI):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alibri" w:hAnsi="Calibri"/>
          <w:i/>
          <w:sz w:val="21"/>
        </w:rPr>
        <w:t>“La variabilidad de ingresos sigue una distribución estocástica predecible por sector y temporada. Al modelar este ciclo, la fintech puede ofrecer un crédito con amortización inteligente: cuotas flexibles más altas en meses de alta demanda comercial y períodos de alivio en fases de reposición de inventario.”</w:t>
      </w:r>
    </w:p>
    <w:p>
      <w:pPr>
        <w:keepNext/>
        <w:spacing w:before="140" w:after="40"/>
      </w:pPr>
      <w:r>
        <w:rPr>
          <w:rFonts w:ascii="Calibri" w:hAnsi="Calibri"/>
          <w:b/>
          <w:i w:val="0"/>
          <w:color w:val="465A6E"/>
          <w:sz w:val="22"/>
        </w:rPr>
        <w:t>Método 3: De Intuición a Evidencia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sz w:val="21"/>
        </w:rPr>
        <w:t>Enfoque de Intuición: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alibri" w:hAnsi="Calibri"/>
          <w:i/>
          <w:sz w:val="21"/>
        </w:rPr>
        <w:t>“Los comités de crédito asumen a priori que un comerciante o contratista independiente es vulnerable y entrará en mora ante cualquier choque macroeconómico.”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sz w:val="21"/>
        </w:rPr>
        <w:t>Enfoque de Evidencia (StatCredit AI):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alibri" w:hAnsi="Calibri"/>
          <w:i/>
          <w:sz w:val="21"/>
        </w:rPr>
        <w:t>“Análisis empíricos multivariados demuestran que subsegmentos específicos (como prestadores de servicios técnicos independientes y comerciantes mayoristas en regiones centrales) exhiben tasas de morosidad a 90 días inferiores a las de asalariados con contratos temporales o con salarios inferiores a 1.5 SMMLV.”</w:t>
      </w:r>
    </w:p>
    <w:p>
      <w:pPr>
        <w:keepNext/>
        <w:spacing w:before="140" w:after="40"/>
      </w:pPr>
      <w:r>
        <w:rPr>
          <w:rFonts w:ascii="Calibri" w:hAnsi="Calibri"/>
          <w:b/>
          <w:i w:val="0"/>
          <w:color w:val="465A6E"/>
          <w:sz w:val="22"/>
        </w:rPr>
        <w:t>Método 4: De Decisión Binaria a Probabilística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sz w:val="21"/>
        </w:rPr>
        <w:t>Enfoque Binario: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alibri" w:hAnsi="Calibri"/>
          <w:i/>
          <w:sz w:val="21"/>
        </w:rPr>
        <w:t>“El algoritmo tradicional rechaza automáticamente la solicitud porque el buró arroja score insuficiente o falta de antecedentes crediticios formales.”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sz w:val="21"/>
        </w:rPr>
        <w:t>Enfoque Probabilístico (StatCredit AI):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alibri" w:hAnsi="Calibri"/>
          <w:i/>
          <w:sz w:val="21"/>
        </w:rPr>
        <w:t>“StatCredit AI genera una función de densidad de probabilidad continua de incumplimiento $P(Default | X)$, acompañada de intervalos de credibilidad bayesianos y explicabilidad local (SHAP values), permitiendo calcular con precisión actuarial el cupo exacto y la tasa que maximizan la rentabilidad esperada del portafolio.”</w:t>
      </w:r>
    </w:p>
    <w:p>
      <w:pPr>
        <w:spacing w:before="120" w:after="120"/>
        <w:pBdr>
          <w:bottom w:val="single" w:sz="6" w:space="1" w:color="0B3C5D"/>
        </w:pBdr>
      </w:pP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D5D9B"/>
          <w:sz w:val="28"/>
        </w:rPr>
        <w:t>2. ANÁLISIS DE RELEVANCIA DEL PROBLEMA</w:t>
      </w:r>
    </w:p>
    <w:p>
      <w:pPr>
        <w:keepNext/>
        <w:spacing w:before="180" w:after="60"/>
      </w:pPr>
      <w:r>
        <w:rPr>
          <w:rFonts w:ascii="Calibri" w:hAnsi="Calibri"/>
          <w:b/>
          <w:i w:val="0"/>
          <w:color w:val="324B64"/>
          <w:sz w:val="24"/>
        </w:rPr>
        <w:t>2.1. Los 4 Criterios de Problemas Relevantes (Inspirado en Bianchi &amp; Verganti, 2021)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0B3C5D"/>
              <w:left w:val="single" w:sz="24" w:space="0" w:color="0B3C5D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B263B"/>
                <w:sz w:val="17"/>
              </w:rPr>
              <w:t xml:space="preserve">                       ┌────────────────────────────────────────────────────────┐</w:t>
              <w:br/>
              <w:t xml:space="preserve">                       │       INNOVACIÓN DE SENTIDO (Meaning Innovation)        │</w:t>
              <w:br/>
              <w:t xml:space="preserve">                       │   Cambio de paradigma: De "riesgo" a "activo de datos" │</w:t>
              <w:br/>
              <w:t xml:space="preserve">                       └───────────────────────────┬────────────────────────────┘</w:t>
              <w:br/>
              <w:t xml:space="preserve">                                                   │</w:t>
              <w:br/>
              <w:t xml:space="preserve">         ┌─────────────────────────────────────────┴─────────────────────────────────────────┐</w:t>
              <w:br/>
              <w:t xml:space="preserve">         ▼                                                                                     ▼</w:t>
              <w:br/>
              <w:t>┌───────────────────────────────────────┐                                   ┌───────────────────────────────────────┐</w:t>
              <w:br/>
              <w:t>│     DESAFÍO A SUPUESTOS DOMINANTES    │                                   │    SINERGIA TECNOLÓGICA-CONCEPTUAL    │</w:t>
              <w:br/>
              <w:t>│  Superar el mito del empleo formal    │                                   │   Machine Learning Causal + XAI       │</w:t>
              <w:br/>
              <w:t>│  como único garante de pago           │                                   │   en Open Finance / Factura DIAN      │</w:t>
              <w:br/>
              <w:t>└───────────────────┬───────────────────┘                                   └───────────────────┬───────────────────┘</w:t>
              <w:br/>
              <w:t xml:space="preserve">                    │                                                                           │</w:t>
              <w:br/>
              <w:t xml:space="preserve">                    └─────────────────────────────────────┬─────────────────────────────────────┘</w:t>
              <w:br/>
              <w:t xml:space="preserve">                                                          ▼</w:t>
              <w:br/>
              <w:t xml:space="preserve">                                       ┌────────────────────────────────────┐</w:t>
              <w:br/>
              <w:t xml:space="preserve">                                       │   IMPACTO Y ESCALABILIDAD SISTÉMICA │</w:t>
              <w:br/>
              <w:t xml:space="preserve">                                       │   $12B COP en capital productivo   │</w:t>
              <w:br/>
              <w:t xml:space="preserve">                                       │   y desarticulación del gota a gota│</w:t>
              <w:br/>
              <w:t xml:space="preserve">                                       └────────────────────────────────────┘</w:t>
            </w:r>
          </w:p>
        </w:tc>
      </w:tr>
    </w:tbl>
    <w:p>
      <w:pPr>
        <w:spacing w:before="0" w:after="80"/>
      </w:pPr>
    </w:p>
    <w:p>
      <w:pPr>
        <w:keepNext/>
        <w:spacing w:before="140" w:after="40"/>
      </w:pPr>
      <w:r>
        <w:rPr>
          <w:rFonts w:ascii="Calibri" w:hAnsi="Calibri"/>
          <w:b/>
          <w:i w:val="0"/>
          <w:color w:val="465A6E"/>
          <w:sz w:val="22"/>
        </w:rPr>
        <w:t>Criterio 1: Creación de Nuevo Sentido (</w:t>
      </w:r>
      <w:r>
        <w:rPr>
          <w:rFonts w:ascii="Calibri" w:hAnsi="Calibri"/>
          <w:i/>
          <w:color w:val="465A6E"/>
          <w:sz w:val="22"/>
        </w:rPr>
        <w:t>Innovation of Meaning</w:t>
      </w:r>
      <w:r>
        <w:rPr>
          <w:rFonts w:ascii="Calibri" w:hAnsi="Calibri"/>
          <w:b/>
          <w:i w:val="0"/>
          <w:color w:val="465A6E"/>
          <w:sz w:val="22"/>
        </w:rPr>
        <w:t>)</w:t>
      </w:r>
    </w:p>
    <w:p>
      <w:pPr>
        <w:spacing w:before="40" w:after="60" w:line="276" w:lineRule="auto"/>
      </w:pPr>
      <w:r>
        <w:rPr>
          <w:rFonts w:ascii="Calibri" w:hAnsi="Calibri"/>
          <w:b w:val="0"/>
          <w:i w:val="0"/>
          <w:sz w:val="21"/>
        </w:rPr>
        <w:t xml:space="preserve">El reencuadre no se limita a calcular una fórmula matemática diferente; transforma el significado operativo y cultural del trabajador independiente para las entidades de crédito. Históricamente, la informalidad o el trabajo por cuenta propia se catalogaba como una anomalía marginal y defectuosa que debía formalizarse antes de poder ser financiada. StatCredit AI dota de un nuevo sentido a este fenómeno: </w:t>
      </w:r>
      <w:r>
        <w:rPr>
          <w:rFonts w:ascii="Calibri" w:hAnsi="Calibri"/>
          <w:b/>
          <w:sz w:val="21"/>
        </w:rPr>
        <w:t>el trabajo independiente es la fuerza tractora viva de la economía real</w:t>
      </w:r>
      <w:r>
        <w:rPr>
          <w:rFonts w:ascii="Calibri" w:hAnsi="Calibri"/>
          <w:b w:val="0"/>
          <w:i w:val="0"/>
          <w:sz w:val="21"/>
        </w:rPr>
        <w:t>, y su flujo transaccional constituye un activo de datos observable y monetizable. La inclusión financiera deja de ser una iniciativa de responsabilidad social empresarial o cumplimiento filantrópico y pasa a ser la mayor frontera de crecimiento comercial rentable para las entidades crediticias.</w:t>
      </w:r>
    </w:p>
    <w:p>
      <w:pPr>
        <w:keepNext/>
        <w:spacing w:before="140" w:after="40"/>
      </w:pPr>
      <w:r>
        <w:rPr>
          <w:rFonts w:ascii="Calibri" w:hAnsi="Calibri"/>
          <w:b/>
          <w:i w:val="0"/>
          <w:color w:val="465A6E"/>
          <w:sz w:val="22"/>
        </w:rPr>
        <w:t>Criterio 2: Desafío a Supuestos Dominantes (</w:t>
      </w:r>
      <w:r>
        <w:rPr>
          <w:rFonts w:ascii="Calibri" w:hAnsi="Calibri"/>
          <w:i/>
          <w:color w:val="465A6E"/>
          <w:sz w:val="22"/>
        </w:rPr>
        <w:t>Challenging Dominant Assumptions</w:t>
      </w:r>
      <w:r>
        <w:rPr>
          <w:rFonts w:ascii="Calibri" w:hAnsi="Calibri"/>
          <w:b/>
          <w:i w:val="0"/>
          <w:color w:val="465A6E"/>
          <w:sz w:val="22"/>
        </w:rPr>
        <w:t>)</w:t>
      </w:r>
    </w:p>
    <w:p>
      <w:pPr>
        <w:spacing w:before="40" w:after="60" w:line="276" w:lineRule="auto"/>
      </w:pPr>
      <w:r>
        <w:rPr>
          <w:rFonts w:ascii="Calibri" w:hAnsi="Calibri"/>
          <w:b w:val="0"/>
          <w:i w:val="0"/>
          <w:sz w:val="21"/>
        </w:rPr>
        <w:t>El sector financiero tradicional ha operado durante décadas bajo tres axiomas no cuestionados: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i/>
          <w:sz w:val="21"/>
        </w:rPr>
        <w:t>Axioma Cuestionado 1:</w:t>
      </w:r>
      <w:r>
        <w:rPr>
          <w:rFonts w:ascii="Calibri" w:hAnsi="Calibri"/>
          <w:b w:val="0"/>
          <w:i w:val="0"/>
          <w:sz w:val="21"/>
        </w:rPr>
        <w:t xml:space="preserve"> "Solo un contrato laboral indefinido garantiza la persistencia del ingreso en el tiempo." </w:t>
      </w:r>
      <w:r>
        <w:rPr>
          <w:rFonts w:ascii="Calibri" w:hAnsi="Calibri"/>
          <w:i/>
          <w:sz w:val="21"/>
        </w:rPr>
        <w:t>(Falso: en Colombia, la rotación laboral formal es alta y la desvinculación extingue el 100% de la fuente de repago).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i/>
          <w:sz w:val="21"/>
        </w:rPr>
        <w:t>Axioma Cuestionado 2:</w:t>
      </w:r>
      <w:r>
        <w:rPr>
          <w:rFonts w:ascii="Calibri" w:hAnsi="Calibri"/>
          <w:b w:val="0"/>
          <w:i w:val="0"/>
          <w:sz w:val="21"/>
        </w:rPr>
        <w:t xml:space="preserve"> "Quien no tiene historial en burós de crédito (DataCrédito/TransUnion) carece de reputación financiera." </w:t>
      </w:r>
      <w:r>
        <w:rPr>
          <w:rFonts w:ascii="Calibri" w:hAnsi="Calibri"/>
          <w:i/>
          <w:sz w:val="21"/>
        </w:rPr>
        <w:t>(Falso: los micronegocios operan bajo redes de crédito comercial con proveedores mayoristas que registran cumplimientos impecables).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i/>
          <w:sz w:val="21"/>
        </w:rPr>
        <w:t>Axioma Cuestionado 3:</w:t>
      </w:r>
      <w:r>
        <w:rPr>
          <w:rFonts w:ascii="Calibri" w:hAnsi="Calibri"/>
          <w:b w:val="0"/>
          <w:i w:val="0"/>
          <w:sz w:val="21"/>
        </w:rPr>
        <w:t xml:space="preserve"> "Los modelos lineales estándar (regresión logística tradicional) son suficientes para predecir el comportamiento financiero." </w:t>
      </w:r>
      <w:r>
        <w:rPr>
          <w:rFonts w:ascii="Calibri" w:hAnsi="Calibri"/>
          <w:i/>
          <w:sz w:val="21"/>
        </w:rPr>
        <w:t>(Falso: el riesgo en independientes presenta dinámicas complejas y no lineales que requieren arquitecturas bayesianas e inferencia causal).</w:t>
      </w:r>
    </w:p>
    <w:p>
      <w:pPr>
        <w:keepNext/>
        <w:spacing w:before="140" w:after="40"/>
      </w:pPr>
      <w:r>
        <w:rPr>
          <w:rFonts w:ascii="Calibri" w:hAnsi="Calibri"/>
          <w:b/>
          <w:i w:val="0"/>
          <w:color w:val="465A6E"/>
          <w:sz w:val="22"/>
        </w:rPr>
        <w:t>Criterio 3: Impacto y Escalabilidad Sistémica (</w:t>
      </w:r>
      <w:r>
        <w:rPr>
          <w:rFonts w:ascii="Calibri" w:hAnsi="Calibri"/>
          <w:i/>
          <w:color w:val="465A6E"/>
          <w:sz w:val="22"/>
        </w:rPr>
        <w:t>Systemic Scalability</w:t>
      </w:r>
      <w:r>
        <w:rPr>
          <w:rFonts w:ascii="Calibri" w:hAnsi="Calibri"/>
          <w:b/>
          <w:i w:val="0"/>
          <w:color w:val="465A6E"/>
          <w:sz w:val="22"/>
        </w:rPr>
        <w:t>)</w:t>
      </w:r>
    </w:p>
    <w:p>
      <w:pPr>
        <w:spacing w:before="40" w:after="60" w:line="276" w:lineRule="auto"/>
      </w:pPr>
      <w:r>
        <w:rPr>
          <w:rFonts w:ascii="Calibri" w:hAnsi="Calibri"/>
          <w:b w:val="0"/>
          <w:i w:val="0"/>
          <w:sz w:val="21"/>
        </w:rPr>
        <w:t>La solución ataca un cuello de botella macroeconómico estructural. En Colombia, el segmento de trabajadores independientes representa cerca de 13 millones de personas y más del 40% del PIB nacional. Un sistema que bloquea o penaliza el crédito a este colectivo descapitaliza a los micronegocios, frena la adopción de tecnología e impide la generación de empleo secundario. Proporcionar un motor analítico escalable vía API que evalúe a esta población en milisegundos dinamiza el flujo de crédito productivo formal en más de $12 billones de pesos colombianos anuales potenciales.</w:t>
      </w:r>
    </w:p>
    <w:p>
      <w:pPr>
        <w:keepNext/>
        <w:spacing w:before="140" w:after="40"/>
      </w:pPr>
      <w:r>
        <w:rPr>
          <w:rFonts w:ascii="Calibri" w:hAnsi="Calibri"/>
          <w:b/>
          <w:i w:val="0"/>
          <w:color w:val="465A6E"/>
          <w:sz w:val="22"/>
        </w:rPr>
        <w:t>Criterio 4: Sinergia Tecnológica-Conceptual (</w:t>
      </w:r>
      <w:r>
        <w:rPr>
          <w:rFonts w:ascii="Calibri" w:hAnsi="Calibri"/>
          <w:i/>
          <w:color w:val="465A6E"/>
          <w:sz w:val="22"/>
        </w:rPr>
        <w:t>Tech-Conceptual Synergy</w:t>
      </w:r>
      <w:r>
        <w:rPr>
          <w:rFonts w:ascii="Calibri" w:hAnsi="Calibri"/>
          <w:b/>
          <w:i w:val="0"/>
          <w:color w:val="465A6E"/>
          <w:sz w:val="22"/>
        </w:rPr>
        <w:t>)</w:t>
      </w:r>
    </w:p>
    <w:p>
      <w:pPr>
        <w:spacing w:before="40" w:after="60" w:line="276" w:lineRule="auto"/>
      </w:pPr>
      <w:r>
        <w:rPr>
          <w:rFonts w:ascii="Calibri" w:hAnsi="Calibri"/>
          <w:b w:val="0"/>
          <w:i w:val="0"/>
          <w:sz w:val="21"/>
        </w:rPr>
        <w:t>Existe un alineamiento único entre el estado del arte de la computación y la coyuntura regulatoria de Colombia. La convergencia entre: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1. </w:t>
      </w:r>
      <w:r>
        <w:rPr>
          <w:rFonts w:ascii="Calibri" w:hAnsi="Calibri"/>
          <w:b w:val="0"/>
          <w:i w:val="0"/>
          <w:sz w:val="21"/>
        </w:rPr>
        <w:t>La masificación del Open Finance y la reglamentación de agregación de datos por la Superintendencia Financiera.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2. </w:t>
      </w:r>
      <w:r>
        <w:rPr>
          <w:rFonts w:ascii="Calibri" w:hAnsi="Calibri"/>
          <w:b w:val="0"/>
          <w:i w:val="0"/>
          <w:sz w:val="21"/>
        </w:rPr>
        <w:t>La penetración de la Facturación Electrónica de la DIAN en microempresas.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3. </w:t>
      </w:r>
      <w:r>
        <w:rPr>
          <w:rFonts w:ascii="Calibri" w:hAnsi="Calibri"/>
          <w:b w:val="0"/>
          <w:i w:val="0"/>
          <w:sz w:val="21"/>
        </w:rPr>
        <w:t>El auge de las billeteras digitales (Nequi, Daviplata, Dale).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4. </w:t>
      </w:r>
      <w:r>
        <w:rPr>
          <w:rFonts w:ascii="Calibri" w:hAnsi="Calibri"/>
          <w:b w:val="0"/>
          <w:i w:val="0"/>
          <w:sz w:val="21"/>
        </w:rPr>
        <w:t xml:space="preserve">El avance de la </w:t>
      </w:r>
      <w:r>
        <w:rPr>
          <w:rFonts w:ascii="Calibri" w:hAnsi="Calibri"/>
          <w:b/>
          <w:sz w:val="21"/>
        </w:rPr>
        <w:t>Inferencia Causal</w:t>
      </w:r>
      <w:r>
        <w:rPr>
          <w:rFonts w:ascii="Calibri" w:hAnsi="Calibri"/>
          <w:b w:val="0"/>
          <w:i w:val="0"/>
          <w:sz w:val="21"/>
        </w:rPr>
        <w:t xml:space="preserve"> y los métodos de </w:t>
      </w:r>
      <w:r>
        <w:rPr>
          <w:rFonts w:ascii="Calibri" w:hAnsi="Calibri"/>
          <w:b/>
          <w:sz w:val="21"/>
        </w:rPr>
        <w:t>Inteligencia Artificial Explicable (XAI)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spacing w:before="40" w:after="60" w:line="276" w:lineRule="auto"/>
      </w:pPr>
      <w:r>
        <w:rPr>
          <w:rFonts w:ascii="Calibri" w:hAnsi="Calibri"/>
          <w:b w:val="0"/>
          <w:i w:val="0"/>
          <w:sz w:val="21"/>
        </w:rPr>
        <w:t>Esta combinación permite, por primera vez en la historia económica del país, reconstruir el perfil financiero integral de un independiente sin depender de documentos impresos.</w:t>
      </w:r>
    </w:p>
    <w:p>
      <w:pPr>
        <w:spacing w:before="120" w:after="120"/>
        <w:pBdr>
          <w:bottom w:val="single" w:sz="6" w:space="1" w:color="0B3C5D"/>
        </w:pBdr>
      </w:pPr>
    </w:p>
    <w:p>
      <w:pPr>
        <w:keepNext/>
        <w:spacing w:before="180" w:after="60"/>
      </w:pPr>
      <w:r>
        <w:rPr>
          <w:rFonts w:ascii="Calibri" w:hAnsi="Calibri"/>
          <w:b/>
          <w:i w:val="0"/>
          <w:color w:val="324B64"/>
          <w:sz w:val="24"/>
        </w:rPr>
        <w:t>2.2. Justificación de Relevancia y Consecuencias Críticas de la Inacción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0C8D0"/>
          <w:left w:val="none"/>
          <w:bottom w:val="single" w:sz="4" w:space="0" w:color="C0C8D0"/>
          <w:right w:val="none"/>
          <w:insideH w:val="single" w:sz="4" w:space="0" w:color="C0C8D0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0B3C5D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Dimensión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0B3C5D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Relevancia Actual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0B3C5D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Consecuencias de la Inacción (Si el problema NO se resuelve)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282C34"/>
                <w:sz w:val="18"/>
              </w:rPr>
              <w:t>Macroeconómica (País)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82C34"/>
                <w:sz w:val="18"/>
              </w:rPr>
              <w:t>Más de 13 millones de independientes sostienen el consumo interno y la reactivación productiva en las regiones.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282C34"/>
                <w:sz w:val="18"/>
              </w:rPr>
              <w:t>Expansión del mercado usurero criminal ("Gota a Gota"):</w:t>
            </w:r>
            <w:r>
              <w:rPr>
                <w:rFonts w:ascii="Calibri" w:hAnsi="Calibri"/>
                <w:b w:val="0"/>
                <w:i w:val="0"/>
                <w:color w:val="282C34"/>
                <w:sz w:val="18"/>
              </w:rPr>
              <w:t xml:space="preserve"> Al estar excluidos de la banca legal, millones de micronegocios financian su operación a tasas anuales superiores al 500%, alimentando economías ilegales, violencia e insolvencia estructural.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9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282C34"/>
                <w:sz w:val="18"/>
              </w:rPr>
              <w:t>Financiera (Fintechs y Bancos)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9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82C34"/>
                <w:sz w:val="18"/>
              </w:rPr>
              <w:t>La banca tradicional satura los mismos 6 millones de clientes asalariados formales de bancarizados, pulverizando los márgenes de intermediación crediticia.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9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282C34"/>
                <w:sz w:val="18"/>
              </w:rPr>
              <w:t>Estancamiento de colocación y canibalización de cartera:</w:t>
            </w:r>
            <w:r>
              <w:rPr>
                <w:rFonts w:ascii="Calibri" w:hAnsi="Calibri"/>
                <w:b w:val="0"/>
                <w:i w:val="0"/>
                <w:color w:val="282C34"/>
                <w:sz w:val="18"/>
              </w:rPr>
              <w:t xml:space="preserve"> Las fintechs y neobancos que no sepan evaluar perfiles alternativos quedarán atrapados en guerras de precios por asalariados o incurrirán en pérdidas millonarias por otorgar crédito a ciegas.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282C34"/>
                <w:sz w:val="18"/>
              </w:rPr>
              <w:t>Social y Empresarial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82C34"/>
                <w:sz w:val="18"/>
              </w:rPr>
              <w:t>El 92% de las unidades productivas en Colombia son micronegocios que nacen como iniciativas independientes.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282C34"/>
                <w:sz w:val="18"/>
              </w:rPr>
              <w:t>Muerte prematura de micronegocios:</w:t>
            </w:r>
            <w:r>
              <w:rPr>
                <w:rFonts w:ascii="Calibri" w:hAnsi="Calibri"/>
                <w:b w:val="0"/>
                <w:i w:val="0"/>
                <w:color w:val="282C34"/>
                <w:sz w:val="18"/>
              </w:rPr>
              <w:t xml:space="preserve"> Incapacidad para adquirir activos productivos, reponer inventarios a costo mayorista o enfrentar contingencias operativas, perpetuando trampas de pobreza intergeneracional.</w:t>
            </w:r>
          </w:p>
        </w:tc>
      </w:tr>
    </w:tbl>
    <w:p>
      <w:pPr>
        <w:spacing w:before="0" w:after="80"/>
      </w:pPr>
    </w:p>
    <w:p>
      <w:pPr>
        <w:spacing w:before="120" w:after="120"/>
        <w:pBdr>
          <w:bottom w:val="single" w:sz="6" w:space="1" w:color="0B3C5D"/>
        </w:pBdr>
      </w:pP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D5D9B"/>
          <w:sz w:val="28"/>
        </w:rPr>
        <w:t>3. DIAGNÓSTICO SISTÉMICO: DIAGRAMA DE ESPINA DE PESCADO (ISHIKAWA)</w:t>
      </w:r>
    </w:p>
    <w:p>
      <w:pPr>
        <w:spacing w:before="40" w:after="60" w:line="276" w:lineRule="auto"/>
      </w:pPr>
      <w:r>
        <w:rPr>
          <w:rFonts w:ascii="Calibri" w:hAnsi="Calibri"/>
          <w:b w:val="0"/>
          <w:i w:val="0"/>
          <w:sz w:val="21"/>
        </w:rPr>
        <w:t>El diagnóstico causal revela que la exclusión del trabajador independiente no se debe a un único factor aislado, sino a la interacción destructiva entre causas tecnológicas/duras y causas culturales/blandas: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0B3C5D"/>
              <w:left w:val="single" w:sz="24" w:space="0" w:color="0B3C5D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B263B"/>
                <w:sz w:val="17"/>
              </w:rPr>
              <w:t>CAUSAS DURAS (Infraestructura y Modelado)         CAUSAS BLANDAS (Cultura y Percepción)</w:t>
              <w:br/>
              <w:br/>
              <w:t xml:space="preserve">   DATOS Y CONECTIVIDAD                             CULTURA Y ABERRACIÓN AL RIESGO</w:t>
              <w:br/>
              <w:t xml:space="preserve">   ┌─ Dispersión transaccional en efectivo          ┌─ Sesgo cognitivo: Asalariado = Seguro</w:t>
              <w:br/>
              <w:t xml:space="preserve">   ├─ Silos de información cerrados                 ├─ Desconfianza histórica hacia independientes</w:t>
              <w:br/>
              <w:t xml:space="preserve">   └─ Falta de estandarización Open Finance         └─ Aversión del Oficial de Crédito a auditar</w:t>
              <w:br/>
              <w:t xml:space="preserve">                 │                                                │</w:t>
              <w:br/>
              <w:t xml:space="preserve">                 ├────────────────────────────────────────────────┤</w:t>
              <w:br/>
              <w:t xml:space="preserve">                 │                                                │</w:t>
              <w:br/>
              <w:t xml:space="preserve">   METODOLOGÍAS Y ALGORITMOS                        REGULACIÓN Y PRODUCTO RÍGIDO</w:t>
              <w:br/>
              <w:t xml:space="preserve">   ┌─ Modelos logísticos lineales anacrónicos       ┌─ Miedo a sanciones de la SFC por "Caja Negra"</w:t>
              <w:br/>
              <w:t xml:space="preserve">   ├─ Dependencia absoluta de Burós Clásicos        ├─ Políticas de crédito estándar no adaptativas</w:t>
              <w:br/>
              <w:t xml:space="preserve">   └─ Falta de métricas de variabilidad estacional └─ Inflexibilidad en amortizaciones de cuotas</w:t>
              <w:br/>
              <w:t xml:space="preserve">                 │                                                │</w:t>
              <w:br/>
              <w:t xml:space="preserve">                 └───────────────────────┬────────────────────────┘</w:t>
              <w:br/>
              <w:t xml:space="preserve">                                         ▼</w:t>
              <w:br/>
              <w:t xml:space="preserve">                 ┌──────────────────────────────────────────────┐</w:t>
              <w:br/>
              <w:t xml:space="preserve">                 │  PROBLEMA CENTRAL:                           │</w:t>
              <w:br/>
              <w:t xml:space="preserve">                 │  Exclusión y sobrecosto de crédito para el   │</w:t>
              <w:br/>
              <w:t xml:space="preserve">                 │  trabajador independiente solvente en        │</w:t>
              <w:br/>
              <w:t xml:space="preserve">                 │  Colombia.                                   │</w:t>
              <w:br/>
              <w:t xml:space="preserve">                 └──────────────────────────────────────────────┘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80"/>
      </w:pPr>
    </w:p>
    <w:p>
      <w:pPr>
        <w:keepNext/>
        <w:spacing w:before="180" w:after="60"/>
      </w:pPr>
      <w:r>
        <w:rPr>
          <w:rFonts w:ascii="Calibri" w:hAnsi="Calibri"/>
          <w:b/>
          <w:i w:val="0"/>
          <w:color w:val="324B64"/>
          <w:sz w:val="24"/>
        </w:rPr>
        <w:t>3.1. Profundización en Causas Duras (Aspectos Técnicos y Analíticos)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1. </w:t>
      </w:r>
      <w:r>
        <w:rPr>
          <w:rFonts w:ascii="Calibri" w:hAnsi="Calibri"/>
          <w:b/>
          <w:sz w:val="21"/>
        </w:rPr>
        <w:t>Modelos Estadísticos Anacrónicos:</w:t>
      </w:r>
      <w:r>
        <w:rPr>
          <w:rFonts w:ascii="Calibri" w:hAnsi="Calibri"/>
          <w:b w:val="0"/>
          <w:i w:val="0"/>
          <w:sz w:val="21"/>
        </w:rPr>
        <w:t xml:space="preserve"> Los scores tradicionales (FICO score clásico o modelos logísticos simples) asumen relaciones lineales directas entre el saldo crediticio y la mora. Colapsan ante series temporales de ingresos variables, interpretando la estacionalidad normal de un negocio como un deterioro financiero inminente.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2. </w:t>
      </w:r>
      <w:r>
        <w:rPr>
          <w:rFonts w:ascii="Calibri" w:hAnsi="Calibri"/>
          <w:b/>
          <w:sz w:val="21"/>
        </w:rPr>
        <w:t>Fragmentación y Silos de Datos:</w:t>
      </w:r>
      <w:r>
        <w:rPr>
          <w:rFonts w:ascii="Calibri" w:hAnsi="Calibri"/>
          <w:b w:val="0"/>
          <w:i w:val="0"/>
          <w:sz w:val="21"/>
        </w:rPr>
        <w:t xml:space="preserve"> La información relevante del independiente (facturas electrónicas en la DIAN, transacciones en billeteras virtuales, pagos de compras a distribuidores) existe pero se encuentra dispersa, desestructurada y sin mecanismos de ingesta automatizada.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3. </w:t>
      </w:r>
      <w:r>
        <w:rPr>
          <w:rFonts w:ascii="Calibri" w:hAnsi="Calibri"/>
          <w:b/>
          <w:sz w:val="21"/>
        </w:rPr>
        <w:t>Carencia de Inferencia Causal en Producción:</w:t>
      </w:r>
      <w:r>
        <w:rPr>
          <w:rFonts w:ascii="Calibri" w:hAnsi="Calibri"/>
          <w:b w:val="0"/>
          <w:i w:val="0"/>
          <w:sz w:val="21"/>
        </w:rPr>
        <w:t xml:space="preserve"> La mayoría de los departamentos de riesgo utilizan analítica puramente correlacional. Confunden factores no causales (como vivir en cierto código postal o tener cambios temporales de actividad económica) con un riesgo intrínseco de impago.</w:t>
      </w:r>
    </w:p>
    <w:p>
      <w:pPr>
        <w:keepNext/>
        <w:spacing w:before="180" w:after="60"/>
      </w:pPr>
      <w:r>
        <w:rPr>
          <w:rFonts w:ascii="Calibri" w:hAnsi="Calibri"/>
          <w:b/>
          <w:i w:val="0"/>
          <w:color w:val="324B64"/>
          <w:sz w:val="24"/>
        </w:rPr>
        <w:t>3.2. Profundización en Causas Blandas (Factores Institucionales y Humanos)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1. </w:t>
      </w:r>
      <w:r>
        <w:rPr>
          <w:rFonts w:ascii="Calibri" w:hAnsi="Calibri"/>
          <w:b/>
          <w:sz w:val="21"/>
        </w:rPr>
        <w:t>Sesgo Institucional del Empleo Formal:</w:t>
      </w:r>
      <w:r>
        <w:rPr>
          <w:rFonts w:ascii="Calibri" w:hAnsi="Calibri"/>
          <w:b w:val="0"/>
          <w:i w:val="0"/>
          <w:sz w:val="21"/>
        </w:rPr>
        <w:t xml:space="preserve"> La cultura crediticia colombiana fue concebida en el siglo XX bajo el ideal fordista del empleado de nómina estable con pensión y cesantías. Todo perfil que se aparte de ese arquetipo es percibido como sospechoso o informal.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2. </w:t>
      </w:r>
      <w:r>
        <w:rPr>
          <w:rFonts w:ascii="Calibri" w:hAnsi="Calibri"/>
          <w:b/>
          <w:sz w:val="21"/>
        </w:rPr>
        <w:t>Aversión Regulatoria del Oficial de Cumplimiento:</w:t>
      </w:r>
      <w:r>
        <w:rPr>
          <w:rFonts w:ascii="Calibri" w:hAnsi="Calibri"/>
          <w:b w:val="0"/>
          <w:i w:val="0"/>
          <w:sz w:val="21"/>
        </w:rPr>
        <w:t xml:space="preserve"> Los comités de riesgo evitan innovar en scoring alternativo por temor a auditorías desfavorables de la Superintendencia Financiera, prefiriendo rechazar créditos rentables antes que justificar un algoritmo no convencional.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3. </w:t>
      </w:r>
      <w:r>
        <w:rPr>
          <w:rFonts w:ascii="Calibri" w:hAnsi="Calibri"/>
          <w:b/>
          <w:sz w:val="21"/>
        </w:rPr>
        <w:t>Fricción Psicológica en el Solicitante:</w:t>
      </w:r>
      <w:r>
        <w:rPr>
          <w:rFonts w:ascii="Calibri" w:hAnsi="Calibri"/>
          <w:b w:val="0"/>
          <w:i w:val="0"/>
          <w:sz w:val="21"/>
        </w:rPr>
        <w:t xml:space="preserve"> El trabajador independiente, agotado de ser rechazado tras adjuntar decenas de páginas notariales y extractos sellados, abandona los canales formales y recurre a soluciones informales.</w:t>
      </w:r>
    </w:p>
    <w:p>
      <w:pPr>
        <w:spacing w:before="120" w:after="120"/>
        <w:pBdr>
          <w:bottom w:val="single" w:sz="6" w:space="1" w:color="0B3C5D"/>
        </w:pBdr>
      </w:pP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D5D9B"/>
          <w:sz w:val="28"/>
        </w:rPr>
        <w:t>4. LAS 3 PREGUNTAS CLAVE DEL MERCADO</w:t>
      </w:r>
    </w:p>
    <w:p>
      <w:pPr>
        <w:keepNext/>
        <w:spacing w:before="180" w:after="60"/>
      </w:pPr>
      <w:r>
        <w:rPr>
          <w:rFonts w:ascii="Calibri" w:hAnsi="Calibri"/>
          <w:b/>
          <w:i w:val="0"/>
          <w:color w:val="324B64"/>
          <w:sz w:val="24"/>
        </w:rPr>
        <w:t>Pregunta 1: ¿Qué hacen los clientes hoy para resolver esta necesidad?</w:t>
      </w:r>
    </w:p>
    <w:p>
      <w:pPr>
        <w:spacing w:before="40" w:after="60" w:line="276" w:lineRule="auto"/>
      </w:pPr>
      <w:r>
        <w:rPr>
          <w:rFonts w:ascii="Calibri" w:hAnsi="Calibri"/>
          <w:b w:val="0"/>
          <w:i w:val="0"/>
          <w:sz w:val="21"/>
        </w:rPr>
        <w:t>Ante la barrera de acceso impuesta por los bancos tradicionales, los trabajadores independientes y micronegocios recurren a mecanismos subóptimos y altamente costosos: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1. </w:t>
      </w:r>
      <w:r>
        <w:rPr>
          <w:rFonts w:ascii="Calibri" w:hAnsi="Calibri"/>
          <w:b/>
          <w:sz w:val="21"/>
        </w:rPr>
        <w:t>Crédito Informal y "Gota a Gota":</w:t>
      </w:r>
      <w:r>
        <w:rPr>
          <w:rFonts w:ascii="Calibri" w:hAnsi="Calibri"/>
          <w:b w:val="0"/>
          <w:i w:val="0"/>
          <w:sz w:val="21"/>
        </w:rPr>
        <w:t xml:space="preserve"> Préstamos diarios o semanales con tasas de interés efectivas anuales que oscilan entre el 200% y el 800%, cobrados mediante coacción física o psicológica.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2. </w:t>
      </w:r>
      <w:r>
        <w:rPr>
          <w:rFonts w:ascii="Calibri" w:hAnsi="Calibri"/>
          <w:b/>
          <w:sz w:val="21"/>
        </w:rPr>
        <w:t>Cadenas, Natilleras y Círculos de Ahorro Familiar:</w:t>
      </w:r>
      <w:r>
        <w:rPr>
          <w:rFonts w:ascii="Calibri" w:hAnsi="Calibri"/>
          <w:b w:val="0"/>
          <w:i w:val="0"/>
          <w:sz w:val="21"/>
        </w:rPr>
        <w:t xml:space="preserve"> Métodos asociativos comunitarios que no generan historial crediticio formal, no garantizan liquidez en momentos de emergencia y conllevan alto riesgo de pérdida de capital por incumplimiento de miembros.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3. </w:t>
      </w:r>
      <w:r>
        <w:rPr>
          <w:rFonts w:ascii="Calibri" w:hAnsi="Calibri"/>
          <w:b/>
          <w:sz w:val="21"/>
        </w:rPr>
        <w:t>Financiación con Proveedores a Costos Ocultos:</w:t>
      </w:r>
      <w:r>
        <w:rPr>
          <w:rFonts w:ascii="Calibri" w:hAnsi="Calibri"/>
          <w:b w:val="0"/>
          <w:i w:val="0"/>
          <w:sz w:val="21"/>
        </w:rPr>
        <w:t xml:space="preserve"> Postergan el pago a proveedores mayoristas a cambio de perder descuentos comerciales por pronto pago (lo que equivale a un costo implícito de financiamiento del 5% al 12% mensual).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4. </w:t>
      </w:r>
      <w:r>
        <w:rPr>
          <w:rFonts w:ascii="Calibri" w:hAnsi="Calibri"/>
          <w:b/>
          <w:sz w:val="21"/>
        </w:rPr>
        <w:t>Tarjetas de Crédito de Bajo Cupo con Tasa Máxima Legal:</w:t>
      </w:r>
      <w:r>
        <w:rPr>
          <w:rFonts w:ascii="Calibri" w:hAnsi="Calibri"/>
          <w:b w:val="0"/>
          <w:i w:val="0"/>
          <w:sz w:val="21"/>
        </w:rPr>
        <w:t xml:space="preserve"> Aquellos pocos que logran una tarjeta de crédito quedan atados a cupos marginales (menores a $1.000.000 COP) y pagan la tasa máxima de usura permitida en el país.</w:t>
      </w:r>
    </w:p>
    <w:p>
      <w:pPr>
        <w:keepNext/>
        <w:spacing w:before="180" w:after="60"/>
      </w:pPr>
      <w:r>
        <w:rPr>
          <w:rFonts w:ascii="Calibri" w:hAnsi="Calibri"/>
          <w:b/>
          <w:i w:val="0"/>
          <w:color w:val="324B64"/>
          <w:sz w:val="24"/>
        </w:rPr>
        <w:t>Pregunta 2: ¿Por qué este problema es tan difícil de resolver?</w:t>
      </w:r>
    </w:p>
    <w:p>
      <w:pPr>
        <w:spacing w:before="40" w:after="60" w:line="276" w:lineRule="auto"/>
      </w:pPr>
      <w:r>
        <w:rPr>
          <w:rFonts w:ascii="Calibri" w:hAnsi="Calibri"/>
          <w:b w:val="0"/>
          <w:i w:val="0"/>
          <w:sz w:val="21"/>
        </w:rPr>
        <w:t>La evaluación del trabajador independiente es uno de los desafíos más complejos de la ciencia de datos aplicada a las finanzas: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sz w:val="21"/>
        </w:rPr>
        <w:t>Alta Heterogeneidad y Ruido Transaccional:</w:t>
      </w:r>
      <w:r>
        <w:rPr>
          <w:rFonts w:ascii="Calibri" w:hAnsi="Calibri"/>
          <w:b w:val="0"/>
          <w:i w:val="0"/>
          <w:sz w:val="21"/>
        </w:rPr>
        <w:t xml:space="preserve"> A diferencia de un empleado cuyos ingresos llegan puntuales en dos fechas fijas del mes, el independiente recibe transferencias heterogéneas, depósitos en efectivo no consolidados y enfrenta semanas de facturación cero seguidas de picos excepcionales de liquidez.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sz w:val="21"/>
        </w:rPr>
        <w:t>El Enigma de la "Caja Negra" y la Regulación:</w:t>
      </w:r>
      <w:r>
        <w:rPr>
          <w:rFonts w:ascii="Calibri" w:hAnsi="Calibri"/>
          <w:b w:val="0"/>
          <w:i w:val="0"/>
          <w:sz w:val="21"/>
        </w:rPr>
        <w:t xml:space="preserve"> Si una fintech implementa un modelo de Machine Learning complejo (como un ensamble de Gradient Boosting o Deep Learning) para interpretar esa complejidad, se enfrenta al veto de los auditores y de la SFC por no poder explicar exactamente por qué se aprobó o denegó un crédito.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sz w:val="21"/>
        </w:rPr>
        <w:t>Calibración de la Causalidad vs. Correlación:</w:t>
      </w:r>
      <w:r>
        <w:rPr>
          <w:rFonts w:ascii="Calibri" w:hAnsi="Calibri"/>
          <w:b w:val="0"/>
          <w:i w:val="0"/>
          <w:sz w:val="21"/>
        </w:rPr>
        <w:t xml:space="preserve"> Es sumamente complejo discernir matemáticamente si una caída temporal en los saldos se debió a un deterioro del negocio o a una reinversión estratégica en inventario. Sin modelos causales, los algoritmos confunden inversión con quiebra.</w:t>
      </w:r>
    </w:p>
    <w:p>
      <w:pPr>
        <w:keepNext/>
        <w:spacing w:before="180" w:after="60"/>
      </w:pPr>
      <w:r>
        <w:rPr>
          <w:rFonts w:ascii="Calibri" w:hAnsi="Calibri"/>
          <w:b/>
          <w:i w:val="0"/>
          <w:color w:val="324B64"/>
          <w:sz w:val="24"/>
        </w:rPr>
        <w:t>Pregunta 3: ¿Qué tipo de mercado estamos abordando?</w:t>
      </w:r>
    </w:p>
    <w:p>
      <w:pPr>
        <w:spacing w:before="40" w:after="60" w:line="276" w:lineRule="auto"/>
      </w:pPr>
      <w:r>
        <w:rPr>
          <w:rFonts w:ascii="Calibri" w:hAnsi="Calibri"/>
          <w:b w:val="0"/>
          <w:i w:val="0"/>
          <w:sz w:val="21"/>
        </w:rPr>
        <w:t xml:space="preserve">StatCredit AI opera en un </w:t>
      </w:r>
      <w:r>
        <w:rPr>
          <w:rFonts w:ascii="Calibri" w:hAnsi="Calibri"/>
          <w:b/>
          <w:sz w:val="21"/>
        </w:rPr>
        <w:t>Mercado Existente pero Profundamente Mal Atendido (*Resegmented / Underserved Market*)</w:t>
      </w:r>
      <w:r>
        <w:rPr>
          <w:rFonts w:ascii="Calibri" w:hAnsi="Calibri"/>
          <w:b w:val="0"/>
          <w:i w:val="0"/>
          <w:sz w:val="21"/>
        </w:rPr>
        <w:t>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sz w:val="21"/>
        </w:rPr>
        <w:t>Modelo B2B2C / SaaS API-First:</w:t>
      </w:r>
      <w:r>
        <w:rPr>
          <w:rFonts w:ascii="Calibri" w:hAnsi="Calibri"/>
          <w:b w:val="0"/>
          <w:i w:val="0"/>
          <w:sz w:val="21"/>
        </w:rPr>
        <w:t xml:space="preserve"> No prestamos dinero directamente; vendemos el motor de inteligencia analítica a entidades otorgantes de crédito (Fintechs, Neobancos, Bancos comerciales y Cooperativas financieras).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sz w:val="21"/>
        </w:rPr>
        <w:t>Tamaño del Mercado Potencial en Colombia (TAM / SAM / SOM):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sz w:val="21"/>
        </w:rPr>
        <w:t>TAM (Total Addressable Market):</w:t>
      </w:r>
      <w:r>
        <w:rPr>
          <w:rFonts w:ascii="Calibri" w:hAnsi="Calibri"/>
          <w:b w:val="0"/>
          <w:i w:val="0"/>
          <w:sz w:val="21"/>
        </w:rPr>
        <w:t xml:space="preserve"> 13,2 millones de trabajadores independientes y micronegocios en Colombia que demandan financiamiento formal ($35 billones COP de cartera anual potencial).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sz w:val="21"/>
        </w:rPr>
        <w:t>SAM (Serviceable Addressable Market):</w:t>
      </w:r>
      <w:r>
        <w:rPr>
          <w:rFonts w:ascii="Calibri" w:hAnsi="Calibri"/>
          <w:b w:val="0"/>
          <w:i w:val="0"/>
          <w:sz w:val="21"/>
        </w:rPr>
        <w:t xml:space="preserve"> 4,5 millones de independientes digitalizados que interactúan con billeteras digitales, facturación electrónica o comercio electrónico ($12 billones COP de cartera potencial atendida por Fintechs y Bancos innovadores).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sz w:val="21"/>
        </w:rPr>
        <w:t>SOM (Serviceable Obtainable Market - 3 años):</w:t>
      </w:r>
      <w:r>
        <w:rPr>
          <w:rFonts w:ascii="Calibri" w:hAnsi="Calibri"/>
          <w:b w:val="0"/>
          <w:i w:val="0"/>
          <w:sz w:val="21"/>
        </w:rPr>
        <w:t xml:space="preserve"> 450.000 evaluaciones de scoring alternativo mensuales procesadas a través de nuestra API para 15 entidades fintech líderes en Colombia.</w:t>
      </w:r>
    </w:p>
    <w:p>
      <w:pPr>
        <w:spacing w:before="120" w:after="120"/>
        <w:pBdr>
          <w:bottom w:val="single" w:sz="6" w:space="1" w:color="0B3C5D"/>
        </w:pBdr>
      </w:pP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D5D9B"/>
          <w:sz w:val="28"/>
        </w:rPr>
        <w:t>5. ANÁLISIS DE LA COMPETENCIA (ESTRATEGIA, ESTRUCTURA Y RIVALIDAD)</w:t>
      </w:r>
    </w:p>
    <w:p>
      <w:pPr>
        <w:spacing w:before="40" w:after="60" w:line="276" w:lineRule="auto"/>
      </w:pPr>
      <w:r>
        <w:rPr>
          <w:rFonts w:ascii="Calibri" w:hAnsi="Calibri"/>
          <w:b w:val="0"/>
          <w:i w:val="0"/>
          <w:sz w:val="21"/>
        </w:rPr>
        <w:t>Para evaluar el entorno competitivo de StatCredit AI, se aplica el marco de Estrategia, Estructura y Rivalidad del Diamante de Porter, contrastando nuestra oferta con los cinco actores predominantes en el ecosistema financiero colombiano.</w:t>
      </w:r>
    </w:p>
    <w:p>
      <w:pPr>
        <w:keepNext/>
        <w:spacing w:before="180" w:after="60"/>
      </w:pPr>
      <w:r>
        <w:rPr>
          <w:rFonts w:ascii="Calibri" w:hAnsi="Calibri"/>
          <w:b/>
          <w:i w:val="0"/>
          <w:color w:val="324B64"/>
          <w:sz w:val="24"/>
        </w:rPr>
        <w:t>5.1. Matriz Sintética de Competidores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0C8D0"/>
          <w:left w:val="none"/>
          <w:bottom w:val="single" w:sz="4" w:space="0" w:color="C0C8D0"/>
          <w:right w:val="none"/>
          <w:insideH w:val="single" w:sz="4" w:space="0" w:color="C0C8D0"/>
          <w:insideV w:val="none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0B3C5D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Atributo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0B3C5D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1. DataCrédito (Experian)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0B3C5D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2. TransUnion (CIFIN)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0B3C5D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3. Belvo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0B3C5D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4. Sempli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0B3C5D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5. Addi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0B3C5D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StatCredit AI (Nuestra Solución)</w:t>
            </w:r>
          </w:p>
        </w:tc>
      </w:tr>
      <w:tr>
        <w:tc>
          <w:tcPr>
            <w:tcW w:type="dxa" w:w="141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282C34"/>
                <w:sz w:val="18"/>
              </w:rPr>
              <w:t>Foco Central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82C34"/>
                <w:sz w:val="18"/>
              </w:rPr>
              <w:t>Buró de crédito tradicional retrospectivo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82C34"/>
                <w:sz w:val="18"/>
              </w:rPr>
              <w:t>Buró de crédito y riesgo bancario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82C34"/>
                <w:sz w:val="18"/>
              </w:rPr>
              <w:t>Infraestructura Open Finance (Data Aggregation)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82C34"/>
                <w:sz w:val="18"/>
              </w:rPr>
              <w:t>Originador directo de crédito para MiPymes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82C34"/>
                <w:sz w:val="18"/>
              </w:rPr>
              <w:t>BNPL y crédito digital en punto de venta al consumo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282C34"/>
                <w:sz w:val="18"/>
              </w:rPr>
              <w:t>Motor de Scoring Alternativo Causal y XAI API-First</w:t>
            </w:r>
          </w:p>
        </w:tc>
      </w:tr>
      <w:tr>
        <w:tc>
          <w:tcPr>
            <w:tcW w:type="dxa" w:w="141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9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282C34"/>
                <w:sz w:val="18"/>
              </w:rPr>
              <w:t>Población Objetivo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9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82C34"/>
                <w:sz w:val="18"/>
              </w:rPr>
              <w:t>Personas bancarizadas con historial formal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9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82C34"/>
                <w:sz w:val="18"/>
              </w:rPr>
              <w:t>Entidades financieras y corporaciones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9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82C34"/>
                <w:sz w:val="18"/>
              </w:rPr>
              <w:t>Desarrolladores Fintech y Neobancos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9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82C34"/>
                <w:sz w:val="18"/>
              </w:rPr>
              <w:t>Pequeñas y medianas empresas constituidas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9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82C34"/>
                <w:sz w:val="18"/>
              </w:rPr>
              <w:t>Consumidores finales en retail y comercio electrónico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9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282C34"/>
                <w:sz w:val="18"/>
              </w:rPr>
              <w:t>Independientes y Micronegocios desatendidos por el sistema formal</w:t>
            </w:r>
          </w:p>
        </w:tc>
      </w:tr>
      <w:tr>
        <w:tc>
          <w:tcPr>
            <w:tcW w:type="dxa" w:w="141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282C34"/>
                <w:sz w:val="18"/>
              </w:rPr>
              <w:t>Enfoque Metodológico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82C34"/>
                <w:sz w:val="18"/>
              </w:rPr>
              <w:t>Correlacional lineal histórico (déficit de mora)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82C34"/>
                <w:sz w:val="18"/>
              </w:rPr>
              <w:t>Puntaje estático de comportamiento crediticio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82C34"/>
                <w:sz w:val="18"/>
              </w:rPr>
              <w:t>Extracción de datos crudos (sin capa de inferencia causal)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82C34"/>
                <w:sz w:val="18"/>
              </w:rPr>
              <w:t>Análisis financiero tradicional semi-automatizado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82C34"/>
                <w:sz w:val="18"/>
              </w:rPr>
              <w:t>Algoritmos propietarios de conversión rápida en checkout</w:t>
            </w:r>
          </w:p>
        </w:tc>
        <w:tc>
          <w:tcPr>
            <w:tcW w:type="dxa" w:w="141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282C34"/>
                <w:sz w:val="18"/>
              </w:rPr>
              <w:t>Modelos bayesianos causales, series de tiempo estocásticas y Explainable AI</w:t>
            </w:r>
          </w:p>
        </w:tc>
      </w:tr>
    </w:tbl>
    <w:p>
      <w:pPr>
        <w:spacing w:before="0" w:after="80"/>
      </w:pPr>
    </w:p>
    <w:p>
      <w:pPr>
        <w:spacing w:before="120" w:after="120"/>
        <w:pBdr>
          <w:bottom w:val="single" w:sz="6" w:space="1" w:color="0B3C5D"/>
        </w:pBdr>
      </w:pPr>
    </w:p>
    <w:p>
      <w:pPr>
        <w:keepNext/>
        <w:spacing w:before="180" w:after="60"/>
      </w:pPr>
      <w:r>
        <w:rPr>
          <w:rFonts w:ascii="Calibri" w:hAnsi="Calibri"/>
          <w:b/>
          <w:i w:val="0"/>
          <w:color w:val="324B64"/>
          <w:sz w:val="24"/>
        </w:rPr>
        <w:t>5.2. Desglose Detallado de los 5 Competidores</w:t>
      </w:r>
    </w:p>
    <w:p>
      <w:pPr>
        <w:keepNext/>
        <w:spacing w:before="140" w:after="40"/>
      </w:pPr>
      <w:r>
        <w:rPr>
          <w:rFonts w:ascii="Calibri" w:hAnsi="Calibri"/>
          <w:b/>
          <w:i w:val="0"/>
          <w:color w:val="465A6E"/>
          <w:sz w:val="22"/>
        </w:rPr>
        <w:t>Competidor 1: DATACRÉDITO (Experian Colombia)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1. </w:t>
      </w:r>
      <w:r>
        <w:rPr>
          <w:rFonts w:ascii="Calibri" w:hAnsi="Calibri"/>
          <w:b/>
          <w:sz w:val="21"/>
        </w:rPr>
        <w:t>Nombre de la Empresa:</w:t>
      </w:r>
      <w:r>
        <w:rPr>
          <w:rFonts w:ascii="Calibri" w:hAnsi="Calibri"/>
          <w:b w:val="0"/>
          <w:i w:val="0"/>
          <w:sz w:val="21"/>
        </w:rPr>
        <w:t xml:space="preserve"> DataCrédito Experian Colombia S.A.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2. </w:t>
      </w:r>
      <w:r>
        <w:rPr>
          <w:rFonts w:ascii="Calibri" w:hAnsi="Calibri"/>
          <w:b/>
          <w:sz w:val="21"/>
        </w:rPr>
        <w:t>Actividad Comercial:</w:t>
      </w:r>
      <w:r>
        <w:rPr>
          <w:rFonts w:ascii="Calibri" w:hAnsi="Calibri"/>
          <w:b w:val="0"/>
          <w:i w:val="0"/>
          <w:sz w:val="21"/>
        </w:rPr>
        <w:t xml:space="preserve"> Central de información crediticia, buró de datos y analítica de riesgo financiero B2B y B2C.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3. </w:t>
      </w:r>
      <w:r>
        <w:rPr>
          <w:rFonts w:ascii="Calibri" w:hAnsi="Calibri"/>
          <w:b/>
          <w:sz w:val="21"/>
        </w:rPr>
        <w:t>Problema que Resuelve:</w:t>
      </w:r>
      <w:r>
        <w:rPr>
          <w:rFonts w:ascii="Calibri" w:hAnsi="Calibri"/>
          <w:b w:val="0"/>
          <w:i w:val="0"/>
          <w:sz w:val="21"/>
        </w:rPr>
        <w:t xml:space="preserve"> Consolida el historial crediticio formal de personas y empresas reportado por entidades financieras, telecomunicaciones y comercio.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4. </w:t>
      </w:r>
      <w:r>
        <w:rPr>
          <w:rFonts w:ascii="Calibri" w:hAnsi="Calibri"/>
          <w:b/>
          <w:sz w:val="21"/>
        </w:rPr>
        <w:t>Principal Producto: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alibri" w:hAnsi="Calibri"/>
          <w:i/>
          <w:sz w:val="21"/>
        </w:rPr>
        <w:t>Historia de Crédito DataCrédito</w:t>
      </w:r>
      <w:r>
        <w:rPr>
          <w:rFonts w:ascii="Calibri" w:hAnsi="Calibri"/>
          <w:b w:val="0"/>
          <w:i w:val="0"/>
          <w:sz w:val="21"/>
        </w:rPr>
        <w:t xml:space="preserve"> y </w:t>
      </w:r>
      <w:r>
        <w:rPr>
          <w:rFonts w:ascii="Calibri" w:hAnsi="Calibri"/>
          <w:i/>
          <w:sz w:val="21"/>
        </w:rPr>
        <w:t>Score DataCrédito Experian</w:t>
      </w:r>
      <w:r>
        <w:rPr>
          <w:rFonts w:ascii="Calibri" w:hAnsi="Calibri"/>
          <w:b w:val="0"/>
          <w:i w:val="0"/>
          <w:sz w:val="21"/>
        </w:rPr>
        <w:t xml:space="preserve"> (puntaje de 150 a 950 puntos).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5. </w:t>
      </w:r>
      <w:r>
        <w:rPr>
          <w:rFonts w:ascii="Calibri" w:hAnsi="Calibri"/>
          <w:b/>
          <w:sz w:val="21"/>
        </w:rPr>
        <w:t>Ciudades/Países de Operación:</w:t>
      </w:r>
      <w:r>
        <w:rPr>
          <w:rFonts w:ascii="Calibri" w:hAnsi="Calibri"/>
          <w:b w:val="0"/>
          <w:i w:val="0"/>
          <w:sz w:val="21"/>
        </w:rPr>
        <w:t xml:space="preserve"> Presencia en toda Colombia (operación global de Experian en más de 30 países).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6. </w:t>
      </w:r>
      <w:r>
        <w:rPr>
          <w:rFonts w:ascii="Calibri" w:hAnsi="Calibri"/>
          <w:b/>
          <w:sz w:val="21"/>
        </w:rPr>
        <w:t>Ventas Anuales (Estimadas):</w:t>
      </w:r>
      <w:r>
        <w:rPr>
          <w:rFonts w:ascii="Calibri" w:hAnsi="Calibri"/>
          <w:b w:val="0"/>
          <w:i w:val="0"/>
          <w:sz w:val="21"/>
        </w:rPr>
        <w:t xml:space="preserve"> Ingresos operacionales en Colombia superiores a $220.000 millones COP anuales.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7. </w:t>
      </w:r>
      <w:r>
        <w:rPr>
          <w:rFonts w:ascii="Calibri" w:hAnsi="Calibri"/>
          <w:b/>
          <w:sz w:val="21"/>
        </w:rPr>
        <w:t>Similitudes con StatCredit AI:</w:t>
      </w:r>
      <w:r>
        <w:rPr>
          <w:rFonts w:ascii="Calibri" w:hAnsi="Calibri"/>
          <w:b w:val="0"/>
          <w:i w:val="0"/>
          <w:sz w:val="21"/>
        </w:rPr>
        <w:t xml:space="preserve"> Provee herramientas para evaluar el riesgo crediticio y es el referente de consulta de los comités de riesgo.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8. </w:t>
      </w:r>
      <w:r>
        <w:rPr>
          <w:rFonts w:ascii="Calibri" w:hAnsi="Calibri"/>
          <w:b/>
          <w:sz w:val="21"/>
        </w:rPr>
        <w:t>Diferenciadores Clave de StatCredit AI: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sz w:val="21"/>
        </w:rPr>
        <w:t xml:space="preserve">DataCrédito es puramente </w:t>
      </w:r>
      <w:r>
        <w:rPr>
          <w:rFonts w:ascii="Calibri" w:hAnsi="Calibri"/>
          <w:b/>
          <w:sz w:val="21"/>
        </w:rPr>
        <w:t>retrospectivo y estático</w:t>
      </w:r>
      <w:r>
        <w:rPr>
          <w:rFonts w:ascii="Calibri" w:hAnsi="Calibri"/>
          <w:b w:val="0"/>
          <w:i w:val="0"/>
          <w:sz w:val="21"/>
        </w:rPr>
        <w:t xml:space="preserve">: si una persona no ha tenido créditos bancarios previos, su score es ciego o nulo. StatCredit AI es </w:t>
      </w:r>
      <w:r>
        <w:rPr>
          <w:rFonts w:ascii="Calibri" w:hAnsi="Calibri"/>
          <w:b/>
          <w:sz w:val="21"/>
        </w:rPr>
        <w:t>prospectivo y en tiempo real</w:t>
      </w:r>
      <w:r>
        <w:rPr>
          <w:rFonts w:ascii="Calibri" w:hAnsi="Calibri"/>
          <w:b w:val="0"/>
          <w:i w:val="0"/>
          <w:sz w:val="21"/>
        </w:rPr>
        <w:t>, utilizando datos alternativos no bancarios.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sz w:val="21"/>
        </w:rPr>
        <w:t>DataCrédito penaliza fuertemente a quien no tiene empleo formal; StatCredit AI calcula la solvencia real a partir de la dinámica de flujo de efectivo.</w:t>
      </w:r>
    </w:p>
    <w:p>
      <w:pPr>
        <w:keepNext/>
        <w:spacing w:before="140" w:after="40"/>
      </w:pPr>
      <w:r>
        <w:rPr>
          <w:rFonts w:ascii="Calibri" w:hAnsi="Calibri"/>
          <w:b/>
          <w:i w:val="0"/>
          <w:color w:val="465A6E"/>
          <w:sz w:val="22"/>
        </w:rPr>
        <w:t>Competidor 2: TRANSUNION COLOMBIA (Antigua CIFIN)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1. </w:t>
      </w:r>
      <w:r>
        <w:rPr>
          <w:rFonts w:ascii="Calibri" w:hAnsi="Calibri"/>
          <w:b/>
          <w:sz w:val="21"/>
        </w:rPr>
        <w:t>Nombre de la Empresa:</w:t>
      </w:r>
      <w:r>
        <w:rPr>
          <w:rFonts w:ascii="Calibri" w:hAnsi="Calibri"/>
          <w:b w:val="0"/>
          <w:i w:val="0"/>
          <w:sz w:val="21"/>
        </w:rPr>
        <w:t xml:space="preserve"> TransUnion Colombia S.A.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2. </w:t>
      </w:r>
      <w:r>
        <w:rPr>
          <w:rFonts w:ascii="Calibri" w:hAnsi="Calibri"/>
          <w:b/>
          <w:sz w:val="21"/>
        </w:rPr>
        <w:t>Actividad Comercial:</w:t>
      </w:r>
      <w:r>
        <w:rPr>
          <w:rFonts w:ascii="Calibri" w:hAnsi="Calibri"/>
          <w:b w:val="0"/>
          <w:i w:val="0"/>
          <w:sz w:val="21"/>
        </w:rPr>
        <w:t xml:space="preserve"> Operador de información crediticia, prevención de fraude, verificación de identidad y analítica de carteras.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3. </w:t>
      </w:r>
      <w:r>
        <w:rPr>
          <w:rFonts w:ascii="Calibri" w:hAnsi="Calibri"/>
          <w:b/>
          <w:sz w:val="21"/>
        </w:rPr>
        <w:t>Problema que Resuelve:</w:t>
      </w:r>
      <w:r>
        <w:rPr>
          <w:rFonts w:ascii="Calibri" w:hAnsi="Calibri"/>
          <w:b w:val="0"/>
          <w:i w:val="0"/>
          <w:sz w:val="21"/>
        </w:rPr>
        <w:t xml:space="preserve"> Ofrece a los bancos visibilidad sobre el endeudamiento global y el comportamiento de pago de clientes en el sistema financiero formal.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4. </w:t>
      </w:r>
      <w:r>
        <w:rPr>
          <w:rFonts w:ascii="Calibri" w:hAnsi="Calibri"/>
          <w:b/>
          <w:sz w:val="21"/>
        </w:rPr>
        <w:t>Principal Producto: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alibri" w:hAnsi="Calibri"/>
          <w:i/>
          <w:sz w:val="21"/>
        </w:rPr>
        <w:t>Score Crediticio TransUnion</w:t>
      </w:r>
      <w:r>
        <w:rPr>
          <w:rFonts w:ascii="Calibri" w:hAnsi="Calibri"/>
          <w:b w:val="0"/>
          <w:i w:val="0"/>
          <w:sz w:val="21"/>
        </w:rPr>
        <w:t xml:space="preserve"> y soluciones de </w:t>
      </w:r>
      <w:r>
        <w:rPr>
          <w:rFonts w:ascii="Calibri" w:hAnsi="Calibri"/>
          <w:i/>
          <w:sz w:val="21"/>
        </w:rPr>
        <w:t>Detección de Fraude e Identidad Digital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5. </w:t>
      </w:r>
      <w:r>
        <w:rPr>
          <w:rFonts w:ascii="Calibri" w:hAnsi="Calibri"/>
          <w:b/>
          <w:sz w:val="21"/>
        </w:rPr>
        <w:t>Ciudades/Países de Operación:</w:t>
      </w:r>
      <w:r>
        <w:rPr>
          <w:rFonts w:ascii="Calibri" w:hAnsi="Calibri"/>
          <w:b w:val="0"/>
          <w:i w:val="0"/>
          <w:sz w:val="21"/>
        </w:rPr>
        <w:t xml:space="preserve"> Cobertura nacional en Colombia; presencia multinacional en más de 30 países.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6. </w:t>
      </w:r>
      <w:r>
        <w:rPr>
          <w:rFonts w:ascii="Calibri" w:hAnsi="Calibri"/>
          <w:b/>
          <w:sz w:val="21"/>
        </w:rPr>
        <w:t>Ventas Anuales (Estimadas):</w:t>
      </w:r>
      <w:r>
        <w:rPr>
          <w:rFonts w:ascii="Calibri" w:hAnsi="Calibri"/>
          <w:b w:val="0"/>
          <w:i w:val="0"/>
          <w:sz w:val="21"/>
        </w:rPr>
        <w:t xml:space="preserve"> Ingresos operacionales en Colombia superiores a $130.000 millones COP anuales.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7. </w:t>
      </w:r>
      <w:r>
        <w:rPr>
          <w:rFonts w:ascii="Calibri" w:hAnsi="Calibri"/>
          <w:b/>
          <w:sz w:val="21"/>
        </w:rPr>
        <w:t>Similitudes con StatCredit AI:</w:t>
      </w:r>
      <w:r>
        <w:rPr>
          <w:rFonts w:ascii="Calibri" w:hAnsi="Calibri"/>
          <w:b w:val="0"/>
          <w:i w:val="0"/>
          <w:sz w:val="21"/>
        </w:rPr>
        <w:t xml:space="preserve"> Proporciona modelos predictivos para la toma de decisiones de originación y mitigación de riesgo crediticio.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8. </w:t>
      </w:r>
      <w:r>
        <w:rPr>
          <w:rFonts w:ascii="Calibri" w:hAnsi="Calibri"/>
          <w:b/>
          <w:sz w:val="21"/>
        </w:rPr>
        <w:t>Diferenciadores Clave de StatCredit AI: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sz w:val="21"/>
        </w:rPr>
        <w:t>TransUnion está optimizado para banca tradicional y corporaciones con datos consolidados; sus modelos sufren de alta rigidez ante la informalidad.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sz w:val="21"/>
        </w:rPr>
        <w:t xml:space="preserve">StatCredit AI incorpora </w:t>
      </w:r>
      <w:r>
        <w:rPr>
          <w:rFonts w:ascii="Calibri" w:hAnsi="Calibri"/>
          <w:b/>
          <w:sz w:val="21"/>
        </w:rPr>
        <w:t>modelos de inferencia causal y explicabilidad local (XAI)</w:t>
      </w:r>
      <w:r>
        <w:rPr>
          <w:rFonts w:ascii="Calibri" w:hAnsi="Calibri"/>
          <w:b w:val="0"/>
          <w:i w:val="0"/>
          <w:sz w:val="21"/>
        </w:rPr>
        <w:t>, permitiendo a los comités de riesgo saber exactamente qué palancas operativas aumentan la resiliencia del cliente independiente.</w:t>
      </w:r>
    </w:p>
    <w:p>
      <w:pPr>
        <w:keepNext/>
        <w:spacing w:before="140" w:after="40"/>
      </w:pPr>
      <w:r>
        <w:rPr>
          <w:rFonts w:ascii="Calibri" w:hAnsi="Calibri"/>
          <w:b/>
          <w:i w:val="0"/>
          <w:color w:val="465A6E"/>
          <w:sz w:val="22"/>
        </w:rPr>
        <w:t>Competidor 3: BELVO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1. </w:t>
      </w:r>
      <w:r>
        <w:rPr>
          <w:rFonts w:ascii="Calibri" w:hAnsi="Calibri"/>
          <w:b/>
          <w:sz w:val="21"/>
        </w:rPr>
        <w:t>Nombre de la Empresa:</w:t>
      </w:r>
      <w:r>
        <w:rPr>
          <w:rFonts w:ascii="Calibri" w:hAnsi="Calibri"/>
          <w:b w:val="0"/>
          <w:i w:val="0"/>
          <w:sz w:val="21"/>
        </w:rPr>
        <w:t xml:space="preserve"> Belvo Latin America S.L. / Belvo Colombia.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2. </w:t>
      </w:r>
      <w:r>
        <w:rPr>
          <w:rFonts w:ascii="Calibri" w:hAnsi="Calibri"/>
          <w:b/>
          <w:sz w:val="21"/>
        </w:rPr>
        <w:t>Actividad Comercial:</w:t>
      </w:r>
      <w:r>
        <w:rPr>
          <w:rFonts w:ascii="Calibri" w:hAnsi="Calibri"/>
          <w:b w:val="0"/>
          <w:i w:val="0"/>
          <w:sz w:val="21"/>
        </w:rPr>
        <w:t xml:space="preserve"> Proveedor de infraestructura de Open Finance (APIs de agregación bancaria, fiscal y enriquecimiento de datos).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3. </w:t>
      </w:r>
      <w:r>
        <w:rPr>
          <w:rFonts w:ascii="Calibri" w:hAnsi="Calibri"/>
          <w:b/>
          <w:sz w:val="21"/>
        </w:rPr>
        <w:t>Problema que Resuelve:</w:t>
      </w:r>
      <w:r>
        <w:rPr>
          <w:rFonts w:ascii="Calibri" w:hAnsi="Calibri"/>
          <w:b w:val="0"/>
          <w:i w:val="0"/>
          <w:sz w:val="21"/>
        </w:rPr>
        <w:t xml:space="preserve"> Facilita la conexión técnica y la extracción segura de datos desde cuentas bancarias, tributarias (DIAN) y plataformas de empleo a las apps de fintechs.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4. </w:t>
      </w:r>
      <w:r>
        <w:rPr>
          <w:rFonts w:ascii="Calibri" w:hAnsi="Calibri"/>
          <w:b/>
          <w:sz w:val="21"/>
        </w:rPr>
        <w:t>Principal Producto: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alibri" w:hAnsi="Calibri"/>
          <w:i/>
          <w:sz w:val="21"/>
        </w:rPr>
        <w:t>Belvo Data API</w:t>
      </w:r>
      <w:r>
        <w:rPr>
          <w:rFonts w:ascii="Calibri" w:hAnsi="Calibri"/>
          <w:b w:val="0"/>
          <w:i w:val="0"/>
          <w:sz w:val="21"/>
        </w:rPr>
        <w:t xml:space="preserve"> (agregación de cuentas) y </w:t>
      </w:r>
      <w:r>
        <w:rPr>
          <w:rFonts w:ascii="Calibri" w:hAnsi="Calibri"/>
          <w:i/>
          <w:sz w:val="21"/>
        </w:rPr>
        <w:t>Belvo Enrichment</w:t>
      </w:r>
      <w:r>
        <w:rPr>
          <w:rFonts w:ascii="Calibri" w:hAnsi="Calibri"/>
          <w:b w:val="0"/>
          <w:i w:val="0"/>
          <w:sz w:val="21"/>
        </w:rPr>
        <w:t xml:space="preserve"> (categorización básica de transacciones).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5. </w:t>
      </w:r>
      <w:r>
        <w:rPr>
          <w:rFonts w:ascii="Calibri" w:hAnsi="Calibri"/>
          <w:b/>
          <w:sz w:val="21"/>
        </w:rPr>
        <w:t>Ciudades/Países de Operación:</w:t>
      </w:r>
      <w:r>
        <w:rPr>
          <w:rFonts w:ascii="Calibri" w:hAnsi="Calibri"/>
          <w:b w:val="0"/>
          <w:i w:val="0"/>
          <w:sz w:val="21"/>
        </w:rPr>
        <w:t xml:space="preserve"> Operaciones en Colombia, México y Brasil.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6. </w:t>
      </w:r>
      <w:r>
        <w:rPr>
          <w:rFonts w:ascii="Calibri" w:hAnsi="Calibri"/>
          <w:b/>
          <w:sz w:val="21"/>
        </w:rPr>
        <w:t>Ventas Anuales (Estimadas):</w:t>
      </w:r>
      <w:r>
        <w:rPr>
          <w:rFonts w:ascii="Calibri" w:hAnsi="Calibri"/>
          <w:b w:val="0"/>
          <w:i w:val="0"/>
          <w:sz w:val="21"/>
        </w:rPr>
        <w:t xml:space="preserve"> Más de $8 millones USD en ingresos recurrentes anuales (ARR) a nivel regional (América Latina).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7. </w:t>
      </w:r>
      <w:r>
        <w:rPr>
          <w:rFonts w:ascii="Calibri" w:hAnsi="Calibri"/>
          <w:b/>
          <w:sz w:val="21"/>
        </w:rPr>
        <w:t>Similitudes con StatCredit AI:</w:t>
      </w:r>
      <w:r>
        <w:rPr>
          <w:rFonts w:ascii="Calibri" w:hAnsi="Calibri"/>
          <w:b w:val="0"/>
          <w:i w:val="0"/>
          <w:sz w:val="21"/>
        </w:rPr>
        <w:t xml:space="preserve"> Integra fuentes de datos alternativas (extractos digitales y facturas DIAN) a través de APIs modernas y en tiempo real.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8. </w:t>
      </w:r>
      <w:r>
        <w:rPr>
          <w:rFonts w:ascii="Calibri" w:hAnsi="Calibri"/>
          <w:b/>
          <w:sz w:val="21"/>
        </w:rPr>
        <w:t>Diferenciadores Clave de StatCredit AI: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sz w:val="21"/>
        </w:rPr>
        <w:t xml:space="preserve">Belvo es una empresa de </w:t>
      </w:r>
      <w:r>
        <w:rPr>
          <w:rFonts w:ascii="Calibri" w:hAnsi="Calibri"/>
          <w:b/>
          <w:sz w:val="21"/>
        </w:rPr>
        <w:t>tubería de datos (*plumbing / aggregation*)</w:t>
      </w:r>
      <w:r>
        <w:rPr>
          <w:rFonts w:ascii="Calibri" w:hAnsi="Calibri"/>
          <w:b w:val="0"/>
          <w:i w:val="0"/>
          <w:sz w:val="21"/>
        </w:rPr>
        <w:t>: extrae y categoriza datos, pero no entrega un score de crédito probabilístico ni asume la lógica de riesgo actuarial.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sz w:val="21"/>
        </w:rPr>
        <w:t xml:space="preserve">StatCredit AI es el </w:t>
      </w:r>
      <w:r>
        <w:rPr>
          <w:rFonts w:ascii="Calibri" w:hAnsi="Calibri"/>
          <w:b/>
          <w:sz w:val="21"/>
        </w:rPr>
        <w:t>cerebro decisorio</w:t>
      </w:r>
      <w:r>
        <w:rPr>
          <w:rFonts w:ascii="Calibri" w:hAnsi="Calibri"/>
          <w:b w:val="0"/>
          <w:i w:val="0"/>
          <w:sz w:val="21"/>
        </w:rPr>
        <w:t>: tomamos los datos transaccionales crudos y los convertimos en un indicador predictivo calibrado de capacidad de pago y riesgo crediticio con total justificación causal.</w:t>
      </w:r>
    </w:p>
    <w:p>
      <w:pPr>
        <w:keepNext/>
        <w:spacing w:before="140" w:after="40"/>
      </w:pPr>
      <w:r>
        <w:rPr>
          <w:rFonts w:ascii="Calibri" w:hAnsi="Calibri"/>
          <w:b/>
          <w:i w:val="0"/>
          <w:color w:val="465A6E"/>
          <w:sz w:val="22"/>
        </w:rPr>
        <w:t>Competidor 4: SEMPLI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1. </w:t>
      </w:r>
      <w:r>
        <w:rPr>
          <w:rFonts w:ascii="Calibri" w:hAnsi="Calibri"/>
          <w:b/>
          <w:sz w:val="21"/>
        </w:rPr>
        <w:t>Nombre de la Empresa:</w:t>
      </w:r>
      <w:r>
        <w:rPr>
          <w:rFonts w:ascii="Calibri" w:hAnsi="Calibri"/>
          <w:b w:val="0"/>
          <w:i w:val="0"/>
          <w:sz w:val="21"/>
        </w:rPr>
        <w:t xml:space="preserve"> Sempli (Tecnología y Finanzas S.A.S.).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2. </w:t>
      </w:r>
      <w:r>
        <w:rPr>
          <w:rFonts w:ascii="Calibri" w:hAnsi="Calibri"/>
          <w:b/>
          <w:sz w:val="21"/>
        </w:rPr>
        <w:t>Actividad Comercial:</w:t>
      </w:r>
      <w:r>
        <w:rPr>
          <w:rFonts w:ascii="Calibri" w:hAnsi="Calibri"/>
          <w:b w:val="0"/>
          <w:i w:val="0"/>
          <w:sz w:val="21"/>
        </w:rPr>
        <w:t xml:space="preserve"> Neobanco y Fintech de crédito digital directo para micro, pequeñas y medianas empresas (MiPymes).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3. </w:t>
      </w:r>
      <w:r>
        <w:rPr>
          <w:rFonts w:ascii="Calibri" w:hAnsi="Calibri"/>
          <w:b/>
          <w:sz w:val="21"/>
        </w:rPr>
        <w:t>Problema que Resuelve:</w:t>
      </w:r>
      <w:r>
        <w:rPr>
          <w:rFonts w:ascii="Calibri" w:hAnsi="Calibri"/>
          <w:b w:val="0"/>
          <w:i w:val="0"/>
          <w:sz w:val="21"/>
        </w:rPr>
        <w:t xml:space="preserve"> Otorga capital de trabajo y tarjetas de crédito empresariales a empresas que no encuentran financiamiento ágil en la banca tradicional.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4. </w:t>
      </w:r>
      <w:r>
        <w:rPr>
          <w:rFonts w:ascii="Calibri" w:hAnsi="Calibri"/>
          <w:b/>
          <w:sz w:val="21"/>
        </w:rPr>
        <w:t>Principal Producto: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alibri" w:hAnsi="Calibri"/>
          <w:i/>
          <w:sz w:val="21"/>
        </w:rPr>
        <w:t>Crédito de Crecimiento Sempli</w:t>
      </w:r>
      <w:r>
        <w:rPr>
          <w:rFonts w:ascii="Calibri" w:hAnsi="Calibri"/>
          <w:b w:val="0"/>
          <w:i w:val="0"/>
          <w:sz w:val="21"/>
        </w:rPr>
        <w:t xml:space="preserve"> (préstamos digitales para capital de trabajo hasta $300 millones COP).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5. </w:t>
      </w:r>
      <w:r>
        <w:rPr>
          <w:rFonts w:ascii="Calibri" w:hAnsi="Calibri"/>
          <w:b/>
          <w:sz w:val="21"/>
        </w:rPr>
        <w:t>Ciudades/Países de Operación:</w:t>
      </w:r>
      <w:r>
        <w:rPr>
          <w:rFonts w:ascii="Calibri" w:hAnsi="Calibri"/>
          <w:b w:val="0"/>
          <w:i w:val="0"/>
          <w:sz w:val="21"/>
        </w:rPr>
        <w:t xml:space="preserve"> Operación en las principales ciudades de Colombia (Medellín, Bogotá, Cali, Barranquilla, Bucaramanga).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6. </w:t>
      </w:r>
      <w:r>
        <w:rPr>
          <w:rFonts w:ascii="Calibri" w:hAnsi="Calibri"/>
          <w:b/>
          <w:sz w:val="21"/>
        </w:rPr>
        <w:t>Ventas Anuales (Estimadas):</w:t>
      </w:r>
      <w:r>
        <w:rPr>
          <w:rFonts w:ascii="Calibri" w:hAnsi="Calibri"/>
          <w:b w:val="0"/>
          <w:i w:val="0"/>
          <w:sz w:val="21"/>
        </w:rPr>
        <w:t xml:space="preserve"> Ingresos financieros y comisiones estimadas en más de $35.000 millones COP anuales.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7. </w:t>
      </w:r>
      <w:r>
        <w:rPr>
          <w:rFonts w:ascii="Calibri" w:hAnsi="Calibri"/>
          <w:b/>
          <w:sz w:val="21"/>
        </w:rPr>
        <w:t>Similitudes con StatCredit AI:</w:t>
      </w:r>
      <w:r>
        <w:rPr>
          <w:rFonts w:ascii="Calibri" w:hAnsi="Calibri"/>
          <w:b w:val="0"/>
          <w:i w:val="0"/>
          <w:sz w:val="21"/>
        </w:rPr>
        <w:t xml:space="preserve"> Apuesta por democratizar el financiamiento a unidades productivas desatendidas evaluando información no convencional.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8. </w:t>
      </w:r>
      <w:r>
        <w:rPr>
          <w:rFonts w:ascii="Calibri" w:hAnsi="Calibri"/>
          <w:b/>
          <w:sz w:val="21"/>
        </w:rPr>
        <w:t>Diferenciadores Clave de StatCredit AI: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sz w:val="21"/>
        </w:rPr>
        <w:t xml:space="preserve">Sempli es un </w:t>
      </w:r>
      <w:r>
        <w:rPr>
          <w:rFonts w:ascii="Calibri" w:hAnsi="Calibri"/>
          <w:b/>
          <w:sz w:val="21"/>
        </w:rPr>
        <w:t>originador directo de crédito (B2C/B2B lender)</w:t>
      </w:r>
      <w:r>
        <w:rPr>
          <w:rFonts w:ascii="Calibri" w:hAnsi="Calibri"/>
          <w:b w:val="0"/>
          <w:i w:val="0"/>
          <w:sz w:val="21"/>
        </w:rPr>
        <w:t>: presta su propio balance o capital fondeado, asumiendo el riesgo total de cartera.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sz w:val="21"/>
        </w:rPr>
        <w:t xml:space="preserve">StatCredit AI es un </w:t>
      </w:r>
      <w:r>
        <w:rPr>
          <w:rFonts w:ascii="Calibri" w:hAnsi="Calibri"/>
          <w:b/>
          <w:sz w:val="21"/>
        </w:rPr>
        <w:t>proveedor de tecnología B2B (SaaS / API)</w:t>
      </w:r>
      <w:r>
        <w:rPr>
          <w:rFonts w:ascii="Calibri" w:hAnsi="Calibri"/>
          <w:b w:val="0"/>
          <w:i w:val="0"/>
          <w:sz w:val="21"/>
        </w:rPr>
        <w:t xml:space="preserve">: no presta dinero ni asume riesgo de balance; monetiza mediante licencias de software y cobro por API call, lo que nos otorga un modelo de negocio de </w:t>
      </w:r>
      <w:r>
        <w:rPr>
          <w:rFonts w:ascii="Calibri" w:hAnsi="Calibri"/>
          <w:b/>
          <w:sz w:val="21"/>
        </w:rPr>
        <w:t>cero riesgo de crédito directo y margen operacional superior al 75%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keepNext/>
        <w:spacing w:before="140" w:after="40"/>
      </w:pPr>
      <w:r>
        <w:rPr>
          <w:rFonts w:ascii="Calibri" w:hAnsi="Calibri"/>
          <w:b/>
          <w:i w:val="0"/>
          <w:color w:val="465A6E"/>
          <w:sz w:val="22"/>
        </w:rPr>
        <w:t>Competidor 5: ADDI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1. </w:t>
      </w:r>
      <w:r>
        <w:rPr>
          <w:rFonts w:ascii="Calibri" w:hAnsi="Calibri"/>
          <w:b/>
          <w:sz w:val="21"/>
        </w:rPr>
        <w:t>Nombre de la Empresa:</w:t>
      </w:r>
      <w:r>
        <w:rPr>
          <w:rFonts w:ascii="Calibri" w:hAnsi="Calibri"/>
          <w:b w:val="0"/>
          <w:i w:val="0"/>
          <w:sz w:val="21"/>
        </w:rPr>
        <w:t xml:space="preserve"> Addi (Addi Financial Services Colombia S.A.S.).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2. </w:t>
      </w:r>
      <w:r>
        <w:rPr>
          <w:rFonts w:ascii="Calibri" w:hAnsi="Calibri"/>
          <w:b/>
          <w:sz w:val="21"/>
        </w:rPr>
        <w:t>Actividad Comercial:</w:t>
      </w:r>
      <w:r>
        <w:rPr>
          <w:rFonts w:ascii="Calibri" w:hAnsi="Calibri"/>
          <w:b w:val="0"/>
          <w:i w:val="0"/>
          <w:sz w:val="21"/>
        </w:rPr>
        <w:t xml:space="preserve"> Fintech de servicios financieros, crédito digital al consumo y Buy Now Pay Later (BNPL).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3. </w:t>
      </w:r>
      <w:r>
        <w:rPr>
          <w:rFonts w:ascii="Calibri" w:hAnsi="Calibri"/>
          <w:b/>
          <w:sz w:val="21"/>
        </w:rPr>
        <w:t>Problema que Resuelve:</w:t>
      </w:r>
      <w:r>
        <w:rPr>
          <w:rFonts w:ascii="Calibri" w:hAnsi="Calibri"/>
          <w:b w:val="0"/>
          <w:i w:val="0"/>
          <w:sz w:val="21"/>
        </w:rPr>
        <w:t xml:space="preserve"> Ofrece crédito instantáneo en el punto de pago físico o virtual para comprar productos sin tarjeta de crédito tradicional.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4. </w:t>
      </w:r>
      <w:r>
        <w:rPr>
          <w:rFonts w:ascii="Calibri" w:hAnsi="Calibri"/>
          <w:b/>
          <w:sz w:val="21"/>
        </w:rPr>
        <w:t>Principal Producto: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alibri" w:hAnsi="Calibri"/>
          <w:i/>
          <w:sz w:val="21"/>
        </w:rPr>
        <w:t>Crédito Addi / AddiPay</w:t>
      </w:r>
      <w:r>
        <w:rPr>
          <w:rFonts w:ascii="Calibri" w:hAnsi="Calibri"/>
          <w:b w:val="0"/>
          <w:i w:val="0"/>
          <w:sz w:val="21"/>
        </w:rPr>
        <w:t xml:space="preserve"> (financiamiento en 1 a 24 cuotas en comercios aliados).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5. </w:t>
      </w:r>
      <w:r>
        <w:rPr>
          <w:rFonts w:ascii="Calibri" w:hAnsi="Calibri"/>
          <w:b/>
          <w:sz w:val="21"/>
        </w:rPr>
        <w:t>Ciudades/Países de Operación:</w:t>
      </w:r>
      <w:r>
        <w:rPr>
          <w:rFonts w:ascii="Calibri" w:hAnsi="Calibri"/>
          <w:b w:val="0"/>
          <w:i w:val="0"/>
          <w:sz w:val="21"/>
        </w:rPr>
        <w:t xml:space="preserve"> Colombia y Brasil.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6. </w:t>
      </w:r>
      <w:r>
        <w:rPr>
          <w:rFonts w:ascii="Calibri" w:hAnsi="Calibri"/>
          <w:b/>
          <w:sz w:val="21"/>
        </w:rPr>
        <w:t>Ventas Anuales (Estimadas):</w:t>
      </w:r>
      <w:r>
        <w:rPr>
          <w:rFonts w:ascii="Calibri" w:hAnsi="Calibri"/>
          <w:b w:val="0"/>
          <w:i w:val="0"/>
          <w:sz w:val="21"/>
        </w:rPr>
        <w:t xml:space="preserve"> Originación anual superior a $1 billón COP; ingresos operacionales estimados superiores a $150.000 millones COP.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7. </w:t>
      </w:r>
      <w:r>
        <w:rPr>
          <w:rFonts w:ascii="Calibri" w:hAnsi="Calibri"/>
          <w:b/>
          <w:sz w:val="21"/>
        </w:rPr>
        <w:t>Similitudes con StatCredit AI:</w:t>
      </w:r>
      <w:r>
        <w:rPr>
          <w:rFonts w:ascii="Calibri" w:hAnsi="Calibri"/>
          <w:b w:val="0"/>
          <w:i w:val="0"/>
          <w:sz w:val="21"/>
        </w:rPr>
        <w:t xml:space="preserve"> Utiliza algoritmos de decisión rápida con pocos datos de entrada (cédula y celular) para aprobar financiamiento en minutos.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8. </w:t>
      </w:r>
      <w:r>
        <w:rPr>
          <w:rFonts w:ascii="Calibri" w:hAnsi="Calibri"/>
          <w:b/>
          <w:sz w:val="21"/>
        </w:rPr>
        <w:t>Diferenciadores Clave de StatCredit AI: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sz w:val="21"/>
        </w:rPr>
        <w:t xml:space="preserve">Addi está enfocado en </w:t>
      </w:r>
      <w:r>
        <w:rPr>
          <w:rFonts w:ascii="Calibri" w:hAnsi="Calibri"/>
          <w:b/>
          <w:sz w:val="21"/>
        </w:rPr>
        <w:t>crédito al consumo retail de montos bajos</w:t>
      </w:r>
      <w:r>
        <w:rPr>
          <w:rFonts w:ascii="Calibri" w:hAnsi="Calibri"/>
          <w:b w:val="0"/>
          <w:i w:val="0"/>
          <w:sz w:val="21"/>
        </w:rPr>
        <w:t>: su negocio depende de la compra de ropa, tecnología o artículos personales en comercios aliados.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sz w:val="21"/>
        </w:rPr>
        <w:t xml:space="preserve">StatCredit AI se enfoca en </w:t>
      </w:r>
      <w:r>
        <w:rPr>
          <w:rFonts w:ascii="Calibri" w:hAnsi="Calibri"/>
          <w:b/>
          <w:sz w:val="21"/>
        </w:rPr>
        <w:t>crédito productivo y capital de trabajo</w:t>
      </w:r>
      <w:r>
        <w:rPr>
          <w:rFonts w:ascii="Calibri" w:hAnsi="Calibri"/>
          <w:b w:val="0"/>
          <w:i w:val="0"/>
          <w:sz w:val="21"/>
        </w:rPr>
        <w:t>: evalúa la salud integral de la actividad generadora de ingresos del trabajador independiente para líneas de crédito estructuradas, no para compras esporádicas de consumo.</w:t>
      </w:r>
    </w:p>
    <w:p>
      <w:pPr>
        <w:spacing w:before="120" w:after="120"/>
        <w:pBdr>
          <w:bottom w:val="single" w:sz="6" w:space="1" w:color="0B3C5D"/>
        </w:pBdr>
      </w:pP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D5D9B"/>
          <w:sz w:val="28"/>
        </w:rPr>
        <w:t>6. EL DIFERENCIADOR CRÍTICO: NUESTRA "VENTAJA INJUSTA" (</w:t>
      </w:r>
      <w:r>
        <w:rPr>
          <w:rFonts w:ascii="Calibri" w:hAnsi="Calibri"/>
          <w:i/>
          <w:color w:val="1D5D9B"/>
          <w:sz w:val="28"/>
        </w:rPr>
        <w:t>UNFAIR ADVANTAGE</w:t>
      </w:r>
      <w:r>
        <w:rPr>
          <w:rFonts w:ascii="Calibri" w:hAnsi="Calibri"/>
          <w:b/>
          <w:i w:val="0"/>
          <w:color w:val="1D5D9B"/>
          <w:sz w:val="28"/>
        </w:rPr>
        <w:t>)</w:t>
      </w:r>
    </w:p>
    <w:p>
      <w:pPr>
        <w:spacing w:before="40" w:after="60" w:line="276" w:lineRule="auto"/>
      </w:pPr>
      <w:r>
        <w:rPr>
          <w:rFonts w:ascii="Calibri" w:hAnsi="Calibri"/>
          <w:b w:val="0"/>
          <w:i w:val="0"/>
          <w:sz w:val="21"/>
        </w:rPr>
        <w:t>Para construir un foso defensivo inexpugnable (</w:t>
      </w:r>
      <w:r>
        <w:rPr>
          <w:rFonts w:ascii="Calibri" w:hAnsi="Calibri"/>
          <w:i/>
          <w:sz w:val="21"/>
        </w:rPr>
        <w:t>economic moat</w:t>
      </w:r>
      <w:r>
        <w:rPr>
          <w:rFonts w:ascii="Calibri" w:hAnsi="Calibri"/>
          <w:b w:val="0"/>
          <w:i w:val="0"/>
          <w:sz w:val="21"/>
        </w:rPr>
        <w:t>) frente a competidores establecidos o nuevos entrantes tecnológicos, StatCredit AI fundamenta su estrategia en dos pilares propietarios: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0B3C5D"/>
              <w:left w:val="single" w:sz="24" w:space="0" w:color="0B3C5D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B263B"/>
                <w:sz w:val="17"/>
              </w:rPr>
              <w:t xml:space="preserve">                            ┌──────────────────────────────────────────────┐</w:t>
              <w:br/>
              <w:t xml:space="preserve">                            │    NUESTRA VENTAJA INJUSTA (UNFAIR MOAT)     │</w:t>
              <w:br/>
              <w:t xml:space="preserve">                            └──────────────────────┬───────────────────────┘</w:t>
              <w:br/>
              <w:t xml:space="preserve">                                                   │</w:t>
              <w:br/>
              <w:t xml:space="preserve">                ┌──────────────────────────────────┴──────────────────────────────────┐</w:t>
              <w:br/>
              <w:t xml:space="preserve">                ▼                                                                     ▼</w:t>
              <w:br/>
              <w:t>┌───────────────────────────────────────────────┐     ┌───────────────────────────────────────────────┐</w:t>
              <w:br/>
              <w:t>│     1. EL EFECTO VOLANTE DE LOS DATOS         │     │    2. ALINEACIÓN REGULATORIA PROACTIVA        │</w:t>
              <w:br/>
              <w:t>│              (Data Flywheel)                  │     │                 (XAI como Moat)               │</w:t>
              <w:br/>
              <w:t>├───────────────────────────────────────────────┤     ├───────────────────────────────────────────────┤</w:t>
              <w:br/>
              <w:t>│ • Más entidades conectan nuestra API          │     │ • Explicabilidad algorítmica nativa (SHAP)    │</w:t>
              <w:br/>
              <w:t>│ • Mayor retroalimentación de repago real      │     │ • Cumplimiento total de Circular 026 de la SFC│</w:t>
              <w:br/>
              <w:t>│ • Reducción de incertidumbre causal           │     │ • Eliminación del riesgo de "Caja Negra"      │</w:t>
              <w:br/>
              <w:t>│ • Scoring inalcanzable para nuevos entrantes  │     │ • Aprobación inmediata en comités de riesgo   │</w:t>
              <w:br/>
              <w:t>└───────────────────────────────────────────────┘     └───────────────────────────────────────────────┘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80"/>
      </w:pPr>
    </w:p>
    <w:p>
      <w:pPr>
        <w:keepNext/>
        <w:spacing w:before="180" w:after="60"/>
      </w:pPr>
      <w:r>
        <w:rPr>
          <w:rFonts w:ascii="Calibri" w:hAnsi="Calibri"/>
          <w:b/>
          <w:i w:val="0"/>
          <w:color w:val="324B64"/>
          <w:sz w:val="24"/>
        </w:rPr>
        <w:t>6.1. El Efecto Volante de los Datos Propietario (</w:t>
      </w:r>
      <w:r>
        <w:rPr>
          <w:rFonts w:ascii="Calibri" w:hAnsi="Calibri"/>
          <w:i/>
          <w:color w:val="324B64"/>
          <w:sz w:val="24"/>
        </w:rPr>
        <w:t>The Data Flywheel</w:t>
      </w:r>
      <w:r>
        <w:rPr>
          <w:rFonts w:ascii="Calibri" w:hAnsi="Calibri"/>
          <w:b/>
          <w:i w:val="0"/>
          <w:color w:val="324B64"/>
          <w:sz w:val="24"/>
        </w:rPr>
        <w:t>)</w:t>
      </w:r>
    </w:p>
    <w:p>
      <w:pPr>
        <w:spacing w:before="40" w:after="60" w:line="276" w:lineRule="auto"/>
      </w:pPr>
      <w:r>
        <w:rPr>
          <w:rFonts w:ascii="Calibri" w:hAnsi="Calibri"/>
          <w:b w:val="0"/>
          <w:i w:val="0"/>
          <w:sz w:val="21"/>
        </w:rPr>
        <w:t xml:space="preserve">A diferencia de los modelos de scoring tradicionales que son estáticos y requieren re-entrenamientos anuales manuales y costosos, StatCredit AI incorpora un </w:t>
      </w:r>
      <w:r>
        <w:rPr>
          <w:rFonts w:ascii="Calibri" w:hAnsi="Calibri"/>
          <w:b/>
          <w:sz w:val="21"/>
        </w:rPr>
        <w:t>ciclo de retroalimentación de red (Data Flywheel)</w:t>
      </w:r>
      <w:r>
        <w:rPr>
          <w:rFonts w:ascii="Calibri" w:hAnsi="Calibri"/>
          <w:b w:val="0"/>
          <w:i w:val="0"/>
          <w:sz w:val="21"/>
        </w:rPr>
        <w:t>: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1. </w:t>
      </w:r>
      <w:r>
        <w:rPr>
          <w:rFonts w:ascii="Calibri" w:hAnsi="Calibri"/>
          <w:b/>
          <w:sz w:val="21"/>
        </w:rPr>
        <w:t>Adopción Inicial:</w:t>
      </w:r>
      <w:r>
        <w:rPr>
          <w:rFonts w:ascii="Calibri" w:hAnsi="Calibri"/>
          <w:b w:val="0"/>
          <w:i w:val="0"/>
          <w:sz w:val="21"/>
        </w:rPr>
        <w:t xml:space="preserve"> Una fintech conecta la API de StatCredit AI para evaluar solicitudes de microcrédito que antes rechazaba por falta de buró.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2. </w:t>
      </w:r>
      <w:r>
        <w:rPr>
          <w:rFonts w:ascii="Calibri" w:hAnsi="Calibri"/>
          <w:b/>
          <w:sz w:val="21"/>
        </w:rPr>
        <w:t>Ingesta Multifuente:</w:t>
      </w:r>
      <w:r>
        <w:rPr>
          <w:rFonts w:ascii="Calibri" w:hAnsi="Calibri"/>
          <w:b w:val="0"/>
          <w:i w:val="0"/>
          <w:sz w:val="21"/>
        </w:rPr>
        <w:t xml:space="preserve"> Se procesan datos heterogéneos de flujos transaccionales (facturación DIAN, billeteras digitales, recurrencia de clientes).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3. </w:t>
      </w:r>
      <w:r>
        <w:rPr>
          <w:rFonts w:ascii="Calibri" w:hAnsi="Calibri"/>
          <w:b/>
          <w:sz w:val="21"/>
        </w:rPr>
        <w:t>Validación de Desempeño Real:</w:t>
      </w:r>
      <w:r>
        <w:rPr>
          <w:rFonts w:ascii="Calibri" w:hAnsi="Calibri"/>
          <w:b w:val="0"/>
          <w:i w:val="0"/>
          <w:sz w:val="21"/>
        </w:rPr>
        <w:t xml:space="preserve"> Cada mes, las entidades aliadas retroalimentan a la plataforma el comportamiento efectivo de la cartera originada (pagos a tiempo, atrasos leves, días de mora, cancelaciones anticipadas).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4. </w:t>
      </w:r>
      <w:r>
        <w:rPr>
          <w:rFonts w:ascii="Calibri" w:hAnsi="Calibri"/>
          <w:b/>
          <w:sz w:val="21"/>
        </w:rPr>
        <w:t>Afinamiento Causal Continuo:</w:t>
      </w:r>
      <w:r>
        <w:rPr>
          <w:rFonts w:ascii="Calibri" w:hAnsi="Calibri"/>
          <w:b w:val="0"/>
          <w:i w:val="0"/>
          <w:sz w:val="21"/>
        </w:rPr>
        <w:t xml:space="preserve"> El motor de aprendizaje no lineal re-calibra los pesos causales y las funciones de distribución por subsector y zona geográfica.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5. </w:t>
      </w:r>
      <w:r>
        <w:rPr>
          <w:rFonts w:ascii="Calibri" w:hAnsi="Calibri"/>
          <w:b/>
          <w:sz w:val="21"/>
        </w:rPr>
        <w:t>Efecto Red Inexpugnable:</w:t>
      </w:r>
      <w:r>
        <w:rPr>
          <w:rFonts w:ascii="Calibri" w:hAnsi="Calibri"/>
          <w:b w:val="0"/>
          <w:i w:val="0"/>
          <w:sz w:val="21"/>
        </w:rPr>
        <w:t xml:space="preserve"> Con cada crédito monitoreado, el error de predicción se reduce asintóticamente. </w:t>
      </w:r>
      <w:r>
        <w:rPr>
          <w:rFonts w:ascii="Calibri" w:hAnsi="Calibri"/>
          <w:b/>
          <w:sz w:val="21"/>
        </w:rPr>
        <w:t>Un nuevo competidor que intente clonar nuestro software no podrá igualar la precisión de nuestro scoring</w:t>
      </w:r>
      <w:r>
        <w:rPr>
          <w:rFonts w:ascii="Calibri" w:hAnsi="Calibri"/>
          <w:b w:val="0"/>
          <w:i w:val="0"/>
          <w:sz w:val="21"/>
        </w:rPr>
        <w:t>, pues carecerá del histórico de millones de transacciones de microflujos colombianos y su tasa de conversión a repago efectivo.</w:t>
      </w:r>
    </w:p>
    <w:p>
      <w:pPr>
        <w:keepNext/>
        <w:spacing w:before="180" w:after="60"/>
      </w:pPr>
      <w:r>
        <w:rPr>
          <w:rFonts w:ascii="Calibri" w:hAnsi="Calibri"/>
          <w:b/>
          <w:i w:val="0"/>
          <w:color w:val="324B64"/>
          <w:sz w:val="24"/>
        </w:rPr>
        <w:t>6.2. Cumplimiento Regulatorio Proactivo como Barrera de Entrada (</w:t>
      </w:r>
      <w:r>
        <w:rPr>
          <w:rFonts w:ascii="Calibri" w:hAnsi="Calibri"/>
          <w:i/>
          <w:color w:val="324B64"/>
          <w:sz w:val="24"/>
        </w:rPr>
        <w:t>Regulatory Moat &amp; XAI</w:t>
      </w:r>
      <w:r>
        <w:rPr>
          <w:rFonts w:ascii="Calibri" w:hAnsi="Calibri"/>
          <w:b/>
          <w:i w:val="0"/>
          <w:color w:val="324B64"/>
          <w:sz w:val="24"/>
        </w:rPr>
        <w:t>)</w:t>
      </w:r>
    </w:p>
    <w:p>
      <w:pPr>
        <w:spacing w:before="40" w:after="60" w:line="276" w:lineRule="auto"/>
      </w:pPr>
      <w:r>
        <w:rPr>
          <w:rFonts w:ascii="Calibri" w:hAnsi="Calibri"/>
          <w:b w:val="0"/>
          <w:i w:val="0"/>
          <w:sz w:val="21"/>
        </w:rPr>
        <w:t>La gran debilidad de los modelos de Machine Learning avanzados en el sector bancario es la falta de transparencia: la regulación colombiana (Ley de Habeas Data 1266 de 2008, Ley 1581 de 2012 y Circulares Básicas de Riesgo de la Superintendencia Financiera de Colombia) prohíbe el uso de algoritmos de "caja negra" que rechacen a un ciudadano sin una motivación técnica auditable y comprensible.</w:t>
      </w:r>
    </w:p>
    <w:p>
      <w:pPr>
        <w:spacing w:before="40" w:after="60" w:line="276" w:lineRule="auto"/>
      </w:pPr>
      <w:r>
        <w:rPr>
          <w:rFonts w:ascii="Calibri" w:hAnsi="Calibri"/>
          <w:b w:val="0"/>
          <w:i w:val="0"/>
          <w:sz w:val="21"/>
        </w:rPr>
        <w:t>StatCredit AI convierte este dolor en su mayor ventaja competitiva: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sz w:val="21"/>
        </w:rPr>
        <w:t>Arquitectura Explainable AI (XAI) desde el Código Fuente:</w:t>
      </w:r>
      <w:r>
        <w:rPr>
          <w:rFonts w:ascii="Calibri" w:hAnsi="Calibri"/>
          <w:b w:val="0"/>
          <w:i w:val="0"/>
          <w:sz w:val="21"/>
        </w:rPr>
        <w:t xml:space="preserve"> No utilizamos modelos opacos aislados. Integramos métodos de teoría de juegos cooperativos (</w:t>
      </w:r>
      <w:r>
        <w:rPr>
          <w:rFonts w:ascii="Calibri" w:hAnsi="Calibri"/>
          <w:i/>
          <w:sz w:val="21"/>
        </w:rPr>
        <w:t>TreeSHAP</w:t>
      </w:r>
      <w:r>
        <w:rPr>
          <w:rFonts w:ascii="Calibri" w:hAnsi="Calibri"/>
          <w:b w:val="0"/>
          <w:i w:val="0"/>
          <w:sz w:val="21"/>
        </w:rPr>
        <w:t xml:space="preserve">, valores de Shapley) e inferencia causal bayesiana que generan, para cada predicción individual, un </w:t>
      </w:r>
      <w:r>
        <w:rPr>
          <w:rFonts w:ascii="Calibri" w:hAnsi="Calibri"/>
          <w:b/>
          <w:sz w:val="21"/>
        </w:rPr>
        <w:t>desglose exacto de contribución de variables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sz w:val="21"/>
        </w:rPr>
        <w:t>Certificado de Auditabilidad Regulatoria:</w:t>
      </w:r>
      <w:r>
        <w:rPr>
          <w:rFonts w:ascii="Calibri" w:hAnsi="Calibri"/>
          <w:b w:val="0"/>
          <w:i w:val="0"/>
          <w:sz w:val="21"/>
        </w:rPr>
        <w:t xml:space="preserve"> Cada respuesta de la API incluye un reporte estandarizado que el Oficial de Cumplimiento o el Gestor de Riesgo puede almacenar directamente en su expediente para la SFC, explicando con exactitud matemática: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1. </w:t>
      </w:r>
      <w:r>
        <w:rPr>
          <w:rFonts w:ascii="Calibri" w:hAnsi="Calibri"/>
          <w:b w:val="0"/>
          <w:i w:val="0"/>
          <w:sz w:val="21"/>
        </w:rPr>
        <w:t>Cuáles fueron las variables que determinaron la aprobación o rechazo.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2. </w:t>
      </w:r>
      <w:r>
        <w:rPr>
          <w:rFonts w:ascii="Calibri" w:hAnsi="Calibri"/>
          <w:b w:val="0"/>
          <w:i w:val="0"/>
          <w:sz w:val="21"/>
        </w:rPr>
        <w:t>Qué factores positivos compensaron las irregularidades de flujo de efectivo.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3. </w:t>
      </w:r>
      <w:r>
        <w:rPr>
          <w:rFonts w:ascii="Calibri" w:hAnsi="Calibri"/>
          <w:b w:val="0"/>
          <w:i w:val="0"/>
          <w:sz w:val="21"/>
        </w:rPr>
        <w:t>Cuáles son las recomendaciones específicas para que el cliente mejore su perfil en evaluaciones posteriores.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sz w:val="21"/>
        </w:rPr>
        <w:t>Reducción de Tiempo de Adopción (*Time-to-Value*):</w:t>
      </w:r>
      <w:r>
        <w:rPr>
          <w:rFonts w:ascii="Calibri" w:hAnsi="Calibri"/>
          <w:b w:val="0"/>
          <w:i w:val="0"/>
          <w:sz w:val="21"/>
        </w:rPr>
        <w:t xml:space="preserve"> Mientras un modelo de Machine Learning tradicional tarda entre 9 y 18 meses en ser aprobado por los comités de riesgo y auditoría de una entidad vigilada, la arquitectura pre-certificada y explicable de StatCredit AI reduce el tiempo de integración y aprobación a </w:t>
      </w:r>
      <w:r>
        <w:rPr>
          <w:rFonts w:ascii="Calibri" w:hAnsi="Calibri"/>
          <w:b/>
          <w:sz w:val="21"/>
        </w:rPr>
        <w:t>menos de 4 semanas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spacing w:before="120" w:after="120"/>
        <w:pBdr>
          <w:bottom w:val="single" w:sz="6" w:space="1" w:color="0B3C5D"/>
        </w:pBdr>
      </w:pP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D5D9B"/>
          <w:sz w:val="28"/>
        </w:rPr>
        <w:t>7. EQUIPO FUNDADOR Y GOBERNANZA TÉCNICA (GRUPO 5)</w:t>
      </w:r>
    </w:p>
    <w:p>
      <w:pPr>
        <w:spacing w:before="40" w:after="60" w:line="276" w:lineRule="auto"/>
      </w:pPr>
      <w:r>
        <w:rPr>
          <w:rFonts w:ascii="Calibri" w:hAnsi="Calibri"/>
          <w:b w:val="0"/>
          <w:i w:val="0"/>
          <w:sz w:val="21"/>
        </w:rPr>
        <w:t>StatCredit AI reúne una combinación única de rigor científico en estadística avanzada, ingeniería de sistemas escalables y visión de negocio financiero: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0B3C5D"/>
              <w:left w:val="single" w:sz="24" w:space="0" w:color="0B3C5D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B263B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   ESTRUCTURA DE LIDERAZGO                              │</w:t>
              <w:br/>
              <w:t>├────────────────────────┬────────────────────────┬────────────────────────────────┤</w:t>
              <w:br/>
              <w:t>│ Integrante             │ Rol Estratégico        │ Responsabilidad Clave          │</w:t>
              <w:br/>
              <w:t>├────────────────────────┼────────────────────────┼────────────────────────────────┤</w:t>
              <w:br/>
              <w:t>│ **Santiago Sandoval**  │ Chief AI Officer (CAIO)│ Modelado Causal y Algoritmos   │</w:t>
              <w:br/>
              <w:t>│ **Sebastián Ramos**    │ Chief Strategy Officer │ Negocios, Alianzas y Monetizar │</w:t>
              <w:br/>
              <w:t>│ **Julián Duarte**      │ Head of Data Quality   │ Pipeline ETL y Feature Eng.    │</w:t>
              <w:br/>
              <w:t>│ **Tomás Rincón**       │ Head of MLOps &amp; Cloud  │ Infraestructura API y Latencia │</w:t>
              <w:br/>
              <w:t>│ **Julián Jiménez**     │ Head of Product &amp; UX   │ Dashboards XAI y Storytelling  │</w:t>
              <w:br/>
              <w:t>└────────────────────────┴────────────────────────┴────────────────────────────────┘</w:t>
            </w:r>
          </w:p>
        </w:tc>
      </w:tr>
    </w:tbl>
    <w:p>
      <w:pPr>
        <w:spacing w:before="0" w:after="80"/>
      </w:pP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sz w:val="21"/>
        </w:rPr>
        <w:t>Santiago Sandoval (Lead Data Scientist &amp; Causal ML Engineer):</w:t>
      </w:r>
      <w:r>
        <w:rPr>
          <w:rFonts w:ascii="Calibri" w:hAnsi="Calibri"/>
          <w:b w:val="0"/>
          <w:i w:val="0"/>
          <w:sz w:val="21"/>
        </w:rPr>
        <w:t xml:space="preserve"> Dirección de la formulación estadística del motor de scoring, optimización de modelos bayesianos y calibración de probabilidades de incumplimiento en series de tiempo financieras.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sz w:val="21"/>
        </w:rPr>
        <w:t>Sebastián Ramos (Chief Strategy Officer &amp; Financial Product Manager):</w:t>
      </w:r>
      <w:r>
        <w:rPr>
          <w:rFonts w:ascii="Calibri" w:hAnsi="Calibri"/>
          <w:b w:val="0"/>
          <w:i w:val="0"/>
          <w:sz w:val="21"/>
        </w:rPr>
        <w:t xml:space="preserve"> Liderazgo en la estrategia B2B, estructuración de acuerdos comerciales con fintechs y bancos, pricing del SaaS y alineación con directrices macroeconómicas.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sz w:val="21"/>
        </w:rPr>
        <w:t>Julián Duarte (Lead Data &amp; Feature Engineer):</w:t>
      </w:r>
      <w:r>
        <w:rPr>
          <w:rFonts w:ascii="Calibri" w:hAnsi="Calibri"/>
          <w:b w:val="0"/>
          <w:i w:val="0"/>
          <w:sz w:val="21"/>
        </w:rPr>
        <w:t xml:space="preserve"> Extracción, limpieza y curaduría rigurosa de fuentes heterogéneas de datos alternativos (DIAN, billeteras, transaccionalidad), mitigando sesgos muestrales de origen.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sz w:val="21"/>
        </w:rPr>
        <w:t>Tomás Rincón (Head of MLOps &amp; Cloud Infrastructure Architect):</w:t>
      </w:r>
      <w:r>
        <w:rPr>
          <w:rFonts w:ascii="Calibri" w:hAnsi="Calibri"/>
          <w:b w:val="0"/>
          <w:i w:val="0"/>
          <w:sz w:val="21"/>
        </w:rPr>
        <w:t xml:space="preserve"> Diseño y aseguramiento de la arquitectura cloud resiliente (Docker, Kubernetes, APIs en FastAPI), garantizando latencias inferiores a 200 ms y cumplimiento de estándares de ciberseguridad bancaria.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sz w:val="21"/>
        </w:rPr>
        <w:t>Julián Jiménez (Head of UX/UI &amp; Explainable AI Data Storyteller):</w:t>
      </w:r>
      <w:r>
        <w:rPr>
          <w:rFonts w:ascii="Calibri" w:hAnsi="Calibri"/>
          <w:b w:val="0"/>
          <w:i w:val="0"/>
          <w:sz w:val="21"/>
        </w:rPr>
        <w:t xml:space="preserve"> Creación de interfaces ejecutivas interactivas, traducción visual de métricas de explicabilidad algorítmica (SHAP) y diseño de la experiencia de usuario para analistas de crédito.</w:t>
      </w:r>
    </w:p>
    <w:p>
      <w:pPr>
        <w:spacing w:before="120" w:after="120"/>
        <w:pBdr>
          <w:bottom w:val="single" w:sz="6" w:space="1" w:color="0B3C5D"/>
        </w:pBdr>
      </w:pP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D5D9B"/>
          <w:sz w:val="28"/>
        </w:rPr>
        <w:t>8. CONCLUSIÓN Y PRÓXIMOS PASOS</w:t>
      </w:r>
    </w:p>
    <w:p>
      <w:pPr>
        <w:spacing w:before="40" w:after="60" w:line="276" w:lineRule="auto"/>
      </w:pPr>
      <w:r>
        <w:rPr>
          <w:rFonts w:ascii="Calibri" w:hAnsi="Calibri"/>
          <w:b w:val="0"/>
          <w:i w:val="0"/>
          <w:sz w:val="21"/>
        </w:rPr>
        <w:t xml:space="preserve">StatCredit AI no es simplemente una herramienta tecnológica; es la </w:t>
      </w:r>
      <w:r>
        <w:rPr>
          <w:rFonts w:ascii="Calibri" w:hAnsi="Calibri"/>
          <w:b/>
          <w:sz w:val="21"/>
        </w:rPr>
        <w:t>llave maestra que desbloquea el potencial económico del sector independiente en Colombia</w:t>
      </w:r>
      <w:r>
        <w:rPr>
          <w:rFonts w:ascii="Calibri" w:hAnsi="Calibri"/>
          <w:b w:val="0"/>
          <w:i w:val="0"/>
          <w:sz w:val="21"/>
        </w:rPr>
        <w:t>, resolviendo la asimetría de información que durante décadas ha alimentado la exclusión financiera y el crédito usurero.</w:t>
      </w:r>
    </w:p>
    <w:p>
      <w:pPr>
        <w:spacing w:before="40" w:after="60" w:line="276" w:lineRule="auto"/>
      </w:pPr>
      <w:r>
        <w:rPr>
          <w:rFonts w:ascii="Calibri" w:hAnsi="Calibri"/>
          <w:b w:val="0"/>
          <w:i w:val="0"/>
          <w:sz w:val="21"/>
        </w:rPr>
        <w:t xml:space="preserve">Con un mercado objetivo claramente delimitado, una metodología basada en reencuadre de problemas de alto impacto y una ventaja injusta soportada en el </w:t>
      </w:r>
      <w:r>
        <w:rPr>
          <w:rFonts w:ascii="Calibri" w:hAnsi="Calibri"/>
          <w:i/>
          <w:sz w:val="21"/>
        </w:rPr>
        <w:t>Data Flywheel</w:t>
      </w:r>
      <w:r>
        <w:rPr>
          <w:rFonts w:ascii="Calibri" w:hAnsi="Calibri"/>
          <w:b w:val="0"/>
          <w:i w:val="0"/>
          <w:sz w:val="21"/>
        </w:rPr>
        <w:t xml:space="preserve"> y la explicabilidad regulatoria (XAI), el proyecto se posiciona como el socio estratégico indispensable para cualquier entidad financiera que aspire a liderar la próxima década de innovación y rentabilidad crediticia en América Latina.</w:t>
      </w:r>
    </w:p>
    <w:p>
      <w:pPr>
        <w:spacing w:before="120" w:after="120"/>
        <w:pBdr>
          <w:bottom w:val="single" w:sz="6" w:space="1" w:color="0B3C5D"/>
        </w:pBdr>
      </w:pP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D5D9B"/>
          <w:sz w:val="28"/>
        </w:rPr>
        <w:t>9. DECLARACIÓN DE USO ÉTICO Y METODOLÓGICO DE INTELIGENCIA ARTIFICIAL (IA)</w:t>
      </w:r>
    </w:p>
    <w:p>
      <w:pPr>
        <w:spacing w:before="40" w:after="60" w:line="276" w:lineRule="auto"/>
      </w:pPr>
      <w:r>
        <w:rPr>
          <w:rFonts w:ascii="Calibri" w:hAnsi="Calibri"/>
          <w:b w:val="0"/>
          <w:i w:val="0"/>
          <w:sz w:val="21"/>
        </w:rPr>
        <w:t>En concordancia con los principios internacionales de integridad académica, transparencia científica y las directrices de gobernanza de Inteligencia Artificial (UNESCO, 2021; IEEE Global Initiative on Ethics of Autonomous and Intelligent Systems, 2019), el equipo fundador certifica y documenta a continuación el uso asistido de modelos de Inteligencia Artificial Generativa (LLMs) durante las etapas de investigación, estructuración, redacción y diseño estratégico de este portafolio.</w:t>
      </w:r>
    </w:p>
    <w:p>
      <w:pPr>
        <w:keepNext/>
        <w:spacing w:before="180" w:after="60"/>
      </w:pPr>
      <w:r>
        <w:rPr>
          <w:rFonts w:ascii="Calibri" w:hAnsi="Calibri"/>
          <w:b/>
          <w:i w:val="0"/>
          <w:color w:val="324B64"/>
          <w:sz w:val="24"/>
        </w:rPr>
        <w:t>9.1. Marco de Responsabilidad y Supervisión Humana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sz w:val="21"/>
        </w:rPr>
        <w:t>Naturaleza del Uso:</w:t>
      </w:r>
      <w:r>
        <w:rPr>
          <w:rFonts w:ascii="Calibri" w:hAnsi="Calibri"/>
          <w:b w:val="0"/>
          <w:i w:val="0"/>
          <w:sz w:val="21"/>
        </w:rPr>
        <w:t xml:space="preserve"> Los modelos de Inteligencia Artificial fueron empleados exclusivamente como herramientas de co-diseño, aceleración analítica, síntesis de información y refinamiento estilístico (paradigma </w:t>
      </w:r>
      <w:r>
        <w:rPr>
          <w:rFonts w:ascii="Calibri" w:hAnsi="Calibri"/>
          <w:i/>
          <w:sz w:val="21"/>
        </w:rPr>
        <w:t>Human-in-the-Loop</w:t>
      </w:r>
      <w:r>
        <w:rPr>
          <w:rFonts w:ascii="Calibri" w:hAnsi="Calibri"/>
          <w:b w:val="0"/>
          <w:i w:val="0"/>
          <w:sz w:val="21"/>
        </w:rPr>
        <w:t>).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sz w:val="21"/>
        </w:rPr>
        <w:t>Autoría Intelectual y Responsabilidad:</w:t>
      </w:r>
      <w:r>
        <w:rPr>
          <w:rFonts w:ascii="Calibri" w:hAnsi="Calibri"/>
          <w:b w:val="0"/>
          <w:i w:val="0"/>
          <w:sz w:val="21"/>
        </w:rPr>
        <w:t xml:space="preserve"> La totalidad de las hipótesis conceptuales, la delimitación de la propuesta de valor, la definición de la arquitectura de negocio, la validación de las cifras del mercado colombiano y la toma final de decisiones son responsabilidad única y exclusiva del equipo humano integrado por </w:t>
      </w:r>
      <w:r>
        <w:rPr>
          <w:rFonts w:ascii="Calibri" w:hAnsi="Calibri"/>
          <w:b/>
          <w:sz w:val="21"/>
        </w:rPr>
        <w:t>Santiago Sandoval, Sebastián Ramos, Julián Duarte, Tomás Rincón y Julián Jiménez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sz w:val="21"/>
        </w:rPr>
        <w:t>Mitigación de Alucinaciones y Sesgos:</w:t>
      </w:r>
      <w:r>
        <w:rPr>
          <w:rFonts w:ascii="Calibri" w:hAnsi="Calibri"/>
          <w:b w:val="0"/>
          <w:i w:val="0"/>
          <w:sz w:val="21"/>
        </w:rPr>
        <w:t xml:space="preserve"> Cada sección generada o enriquecida mediante IA fue sometida a un riguroso proceso de verificación cruzada frente a fuentes oficiales del contexto económico colombiano (DANE, Superintendencia Financiera de Colombia, literatura académica de </w:t>
      </w:r>
      <w:r>
        <w:rPr>
          <w:rFonts w:ascii="Calibri" w:hAnsi="Calibri"/>
          <w:i/>
          <w:sz w:val="21"/>
        </w:rPr>
        <w:t>Problem Framing</w:t>
      </w:r>
      <w:r>
        <w:rPr>
          <w:rFonts w:ascii="Calibri" w:hAnsi="Calibri"/>
          <w:b w:val="0"/>
          <w:i w:val="0"/>
          <w:sz w:val="21"/>
        </w:rPr>
        <w:t xml:space="preserve"> y reportes de la industria fintech).</w:t>
      </w:r>
    </w:p>
    <w:p>
      <w:pPr>
        <w:spacing w:before="120" w:after="120"/>
        <w:pBdr>
          <w:bottom w:val="single" w:sz="6" w:space="1" w:color="0B3C5D"/>
        </w:pBdr>
      </w:pPr>
    </w:p>
    <w:p>
      <w:pPr>
        <w:keepNext/>
        <w:spacing w:before="180" w:after="60"/>
      </w:pPr>
      <w:r>
        <w:rPr>
          <w:rFonts w:ascii="Calibri" w:hAnsi="Calibri"/>
          <w:b/>
          <w:i w:val="0"/>
          <w:color w:val="324B64"/>
          <w:sz w:val="24"/>
        </w:rPr>
        <w:t>9.2. Declaración Concisa de Prompts Utilizados</w:t>
      </w:r>
    </w:p>
    <w:p>
      <w:pPr>
        <w:spacing w:before="40" w:after="60" w:line="276" w:lineRule="auto"/>
      </w:pPr>
      <w:r>
        <w:rPr>
          <w:rFonts w:ascii="Calibri" w:hAnsi="Calibri"/>
          <w:b w:val="0"/>
          <w:i w:val="0"/>
          <w:sz w:val="21"/>
        </w:rPr>
        <w:t>El soporte de Inteligencia Artificial se concentró estrictamente en tres momentos funcionales del proceso: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1. </w:t>
      </w:r>
      <w:r>
        <w:rPr>
          <w:rFonts w:ascii="Calibri" w:hAnsi="Calibri"/>
          <w:b/>
          <w:sz w:val="21"/>
        </w:rPr>
        <w:t>Exploración de Contexto (Emprendimiento y Guías de Clase):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4F8"/>
            <w:tcMar>
              <w:top w:w="100" w:type="dxa"/>
              <w:bottom w:w="100" w:type="dxa"/>
              <w:left w:w="180" w:type="dxa"/>
              <w:right w:w="140" w:type="dxa"/>
            </w:tcMar>
            <w:tcBorders>
              <w:top w:val="none"/>
              <w:left w:val="single" w:sz="24" w:space="0" w:color="0B3C5D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i/>
                <w:color w:val="0B3C5D"/>
                <w:sz w:val="21"/>
              </w:rPr>
              <w:t>“Explora y analiza en profundidad todo el contexto provisto sobre el emprendimiento StatCredit AI (evaluación crediticia de trabajadores independientes en Colombia mediante ciencia de datos), integrando las directrices, marcos conceptuales de reencuadre y requerimientos de avance establecidos en la clase de emprendimiento.”</w:t>
            </w:r>
          </w:p>
        </w:tc>
      </w:tr>
    </w:tbl>
    <w:p>
      <w:pPr>
        <w:spacing w:before="0" w:after="60"/>
      </w:pPr>
    </w:p>
    <w:p>
      <w:pPr>
        <w:pStyle w:val="ListBullet"/>
        <w:spacing w:before="20" w:after="40"/>
        <w:ind w:left="360"/>
      </w:pPr>
      <w:r>
        <w:rPr>
          <w:rFonts w:ascii="Calibri" w:hAnsi="Calibri"/>
          <w:i/>
          <w:sz w:val="21"/>
        </w:rPr>
        <w:t>Propósito:</w:t>
      </w:r>
      <w:r>
        <w:rPr>
          <w:rFonts w:ascii="Calibri" w:hAnsi="Calibri"/>
          <w:b w:val="0"/>
          <w:i w:val="0"/>
          <w:sz w:val="21"/>
        </w:rPr>
        <w:t xml:space="preserve"> Facilitar la asimilación del entorno macroeconómico y contextual de la problemática según las pautas de la cátedra.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2. </w:t>
      </w:r>
      <w:r>
        <w:rPr>
          <w:rFonts w:ascii="Calibri" w:hAnsi="Calibri"/>
          <w:b/>
          <w:sz w:val="21"/>
        </w:rPr>
        <w:t>Organización de Ideas, Temas y Equipo: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4F8"/>
            <w:tcMar>
              <w:top w:w="100" w:type="dxa"/>
              <w:bottom w:w="100" w:type="dxa"/>
              <w:left w:w="180" w:type="dxa"/>
              <w:right w:w="140" w:type="dxa"/>
            </w:tcMar>
            <w:tcBorders>
              <w:top w:val="none"/>
              <w:left w:val="single" w:sz="24" w:space="0" w:color="0B3C5D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i/>
                <w:color w:val="0B3C5D"/>
                <w:sz w:val="21"/>
              </w:rPr>
              <w:t>“Estructura y organiza de manera lógica y coherente todas las ideas desarrolladas: la articulación de los perfiles y roles del equipo (Grupo 5), el diagnóstico sistémico (Espina de Pescado), la matriz de competidores y los argumentos de diferenciación estratégica.”</w:t>
            </w:r>
          </w:p>
        </w:tc>
      </w:tr>
    </w:tbl>
    <w:p>
      <w:pPr>
        <w:spacing w:before="0" w:after="60"/>
      </w:pPr>
    </w:p>
    <w:p>
      <w:pPr>
        <w:pStyle w:val="ListBullet"/>
        <w:spacing w:before="20" w:after="40"/>
        <w:ind w:left="360"/>
      </w:pPr>
      <w:r>
        <w:rPr>
          <w:rFonts w:ascii="Calibri" w:hAnsi="Calibri"/>
          <w:i/>
          <w:sz w:val="21"/>
        </w:rPr>
        <w:t>Propósito:</w:t>
      </w:r>
      <w:r>
        <w:rPr>
          <w:rFonts w:ascii="Calibri" w:hAnsi="Calibri"/>
          <w:b w:val="0"/>
          <w:i w:val="0"/>
          <w:sz w:val="21"/>
        </w:rPr>
        <w:t xml:space="preserve"> Síntesis y estructuración jerárquica de los componentes temáticos del proyecto.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3. </w:t>
      </w:r>
      <w:r>
        <w:rPr>
          <w:rFonts w:ascii="Calibri" w:hAnsi="Calibri"/>
          <w:b/>
          <w:sz w:val="21"/>
        </w:rPr>
        <w:t>Redacción y Estilo del Portafolio: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4F8"/>
            <w:tcMar>
              <w:top w:w="100" w:type="dxa"/>
              <w:bottom w:w="100" w:type="dxa"/>
              <w:left w:w="180" w:type="dxa"/>
              <w:right w:w="140" w:type="dxa"/>
            </w:tcMar>
            <w:tcBorders>
              <w:top w:val="none"/>
              <w:left w:val="single" w:sz="24" w:space="0" w:color="0B3C5D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i/>
                <w:color w:val="0B3C5D"/>
                <w:sz w:val="21"/>
              </w:rPr>
              <w:t>“Redacta el documento final del portafolio con un tono ejecutivo, formal y técnico-estadístico, orientado a Comités de Riesgo y Originación en Fintechs, garantizando claridad conceptual y coherencia en cada sección.”</w:t>
            </w:r>
          </w:p>
        </w:tc>
      </w:tr>
    </w:tbl>
    <w:p>
      <w:pPr>
        <w:spacing w:before="0" w:after="60"/>
      </w:pPr>
    </w:p>
    <w:p>
      <w:pPr>
        <w:pStyle w:val="ListBullet"/>
        <w:spacing w:before="20" w:after="40"/>
        <w:ind w:left="360"/>
      </w:pPr>
      <w:r>
        <w:rPr>
          <w:rFonts w:ascii="Calibri" w:hAnsi="Calibri"/>
          <w:i/>
          <w:sz w:val="21"/>
        </w:rPr>
        <w:t>Propósito:</w:t>
      </w:r>
      <w:r>
        <w:rPr>
          <w:rFonts w:ascii="Calibri" w:hAnsi="Calibri"/>
          <w:b w:val="0"/>
          <w:i w:val="0"/>
          <w:sz w:val="21"/>
        </w:rPr>
        <w:t xml:space="preserve"> Redacción ejecutiva y pulimiento formal del portafolio.</w:t>
      </w:r>
    </w:p>
    <w:p>
      <w:pPr>
        <w:spacing w:before="120" w:after="120"/>
        <w:pBdr>
          <w:bottom w:val="single" w:sz="6" w:space="1" w:color="0B3C5D"/>
        </w:pBdr>
      </w:pPr>
    </w:p>
    <w:p>
      <w:pPr>
        <w:keepNext/>
        <w:spacing w:before="180" w:after="60"/>
      </w:pPr>
      <w:r>
        <w:rPr>
          <w:rFonts w:ascii="Calibri" w:hAnsi="Calibri"/>
          <w:b/>
          <w:i w:val="0"/>
          <w:color w:val="324B64"/>
          <w:sz w:val="24"/>
        </w:rPr>
        <w:t>9.3. Herramientas de IA y Entornos de Ejecución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sz w:val="21"/>
        </w:rPr>
        <w:t>Modelos Principales:</w:t>
      </w:r>
      <w:r>
        <w:rPr>
          <w:rFonts w:ascii="Calibri" w:hAnsi="Calibri"/>
          <w:b w:val="0"/>
          <w:i w:val="0"/>
          <w:sz w:val="21"/>
        </w:rPr>
        <w:t xml:space="preserve"> Antigravity AI Engine / Google Gemini 1.5 Pro &amp; Gemini 2.5 Pro (DeepMind Architecture).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sz w:val="21"/>
        </w:rPr>
        <w:t>Entorno de Trabajo:</w:t>
      </w:r>
      <w:r>
        <w:rPr>
          <w:rFonts w:ascii="Calibri" w:hAnsi="Calibri"/>
          <w:b w:val="0"/>
          <w:i w:val="0"/>
          <w:sz w:val="21"/>
        </w:rPr>
        <w:t xml:space="preserve"> Antigravity IDE Workspace (Sesión de co-creación y pair-programming).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sz w:val="21"/>
        </w:rPr>
        <w:t>Herramientas Auxiliares:</w:t>
      </w:r>
      <w:r>
        <w:rPr>
          <w:rFonts w:ascii="Calibri" w:hAnsi="Calibri"/>
          <w:b w:val="0"/>
          <w:i w:val="0"/>
          <w:sz w:val="21"/>
        </w:rPr>
        <w:t xml:space="preserve"> Python (</w:t>
      </w:r>
      <w:r>
        <w:rPr>
          <w:rFonts w:ascii="Consolas" w:hAnsi="Consolas"/>
          <w:color w:val="C7254E"/>
          <w:sz w:val="19"/>
        </w:rPr>
        <w:t>python-docx</w:t>
      </w:r>
      <w:r>
        <w:rPr>
          <w:rFonts w:ascii="Calibri" w:hAnsi="Calibri"/>
          <w:b w:val="0"/>
          <w:i w:val="0"/>
          <w:sz w:val="21"/>
        </w:rPr>
        <w:t>, expresiones regulares) para compilación automática de especificaciones Markdown a formatos ofimáticos de alta fidelidad tipográfica.</w:t>
      </w:r>
    </w:p>
    <w:p>
      <w:pPr>
        <w:spacing w:before="120" w:after="120"/>
        <w:pBdr>
          <w:bottom w:val="single" w:sz="6" w:space="1" w:color="0B3C5D"/>
        </w:pBdr>
      </w:pPr>
    </w:p>
    <w:p>
      <w:pPr>
        <w:keepNext/>
        <w:spacing w:before="180" w:after="60"/>
      </w:pPr>
      <w:r>
        <w:rPr>
          <w:rFonts w:ascii="Calibri" w:hAnsi="Calibri"/>
          <w:b/>
          <w:i w:val="0"/>
          <w:color w:val="324B64"/>
          <w:sz w:val="24"/>
        </w:rPr>
        <w:t>9.4. Referencias Bibliográficas y Metodológicas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1. </w:t>
      </w:r>
      <w:r>
        <w:rPr>
          <w:rFonts w:ascii="Calibri" w:hAnsi="Calibri"/>
          <w:b/>
          <w:sz w:val="21"/>
        </w:rPr>
        <w:t>Bianchi, M., &amp; Verganti, R. (2021).</w:t>
      </w:r>
      <w:r>
        <w:rPr>
          <w:rFonts w:ascii="Calibri" w:hAnsi="Calibri"/>
          <w:b w:val="0"/>
          <w:i w:val="0"/>
          <w:sz w:val="21"/>
        </w:rPr>
        <w:t xml:space="preserve"> Innovating by Framing the Right Problems: How Organizations Can Shift Their Focus from Solutions to Problems. </w:t>
      </w:r>
      <w:r>
        <w:rPr>
          <w:rFonts w:ascii="Calibri" w:hAnsi="Calibri"/>
          <w:i/>
          <w:sz w:val="21"/>
        </w:rPr>
        <w:t>MIT Sloan Management Review</w:t>
      </w:r>
      <w:r>
        <w:rPr>
          <w:rFonts w:ascii="Calibri" w:hAnsi="Calibri"/>
          <w:b w:val="0"/>
          <w:i w:val="0"/>
          <w:sz w:val="21"/>
        </w:rPr>
        <w:t>, 62(3), 61–68.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2. </w:t>
      </w:r>
      <w:r>
        <w:rPr>
          <w:rFonts w:ascii="Calibri" w:hAnsi="Calibri"/>
          <w:b/>
          <w:sz w:val="21"/>
        </w:rPr>
        <w:t>Aulet, B. (2013).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alibri" w:hAnsi="Calibri"/>
          <w:i/>
          <w:sz w:val="21"/>
        </w:rPr>
        <w:t>Disciplined Entrepreneurship: 24 Steps to a Successful Startup</w:t>
      </w:r>
      <w:r>
        <w:rPr>
          <w:rFonts w:ascii="Calibri" w:hAnsi="Calibri"/>
          <w:b w:val="0"/>
          <w:i w:val="0"/>
          <w:sz w:val="21"/>
        </w:rPr>
        <w:t>. John Wiley &amp; Sons, Inc.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3. </w:t>
      </w:r>
      <w:r>
        <w:rPr>
          <w:rFonts w:ascii="Calibri" w:hAnsi="Calibri"/>
          <w:b/>
          <w:sz w:val="21"/>
        </w:rPr>
        <w:t>Porter, M. E. (1990).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alibri" w:hAnsi="Calibri"/>
          <w:i/>
          <w:sz w:val="21"/>
        </w:rPr>
        <w:t>The Competitive Advantage of Nations</w:t>
      </w:r>
      <w:r>
        <w:rPr>
          <w:rFonts w:ascii="Calibri" w:hAnsi="Calibri"/>
          <w:b w:val="0"/>
          <w:i w:val="0"/>
          <w:sz w:val="21"/>
        </w:rPr>
        <w:t>. Free Press (Macmillan).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4. </w:t>
      </w:r>
      <w:r>
        <w:rPr>
          <w:rFonts w:ascii="Calibri" w:hAnsi="Calibri"/>
          <w:b/>
          <w:sz w:val="21"/>
        </w:rPr>
        <w:t>Lundberg, S. M., &amp; Lee, S. I. (2017).</w:t>
      </w:r>
      <w:r>
        <w:rPr>
          <w:rFonts w:ascii="Calibri" w:hAnsi="Calibri"/>
          <w:b w:val="0"/>
          <w:i w:val="0"/>
          <w:sz w:val="21"/>
        </w:rPr>
        <w:t xml:space="preserve"> A unified approach to interpreting model predictions. </w:t>
      </w:r>
      <w:r>
        <w:rPr>
          <w:rFonts w:ascii="Calibri" w:hAnsi="Calibri"/>
          <w:i/>
          <w:sz w:val="21"/>
        </w:rPr>
        <w:t>Advances in Neural Information Processing Systems (NeurIPS 2017)</w:t>
      </w:r>
      <w:r>
        <w:rPr>
          <w:rFonts w:ascii="Calibri" w:hAnsi="Calibri"/>
          <w:b w:val="0"/>
          <w:i w:val="0"/>
          <w:sz w:val="21"/>
        </w:rPr>
        <w:t>, 30, 4765–4774.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5. </w:t>
      </w:r>
      <w:r>
        <w:rPr>
          <w:rFonts w:ascii="Calibri" w:hAnsi="Calibri"/>
          <w:b/>
          <w:sz w:val="21"/>
        </w:rPr>
        <w:t>Pearl, J., &amp; Mackenzie, D. (2018).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alibri" w:hAnsi="Calibri"/>
          <w:i/>
          <w:sz w:val="21"/>
        </w:rPr>
        <w:t>The Book of Why: The New Science of Cause and Effect</w:t>
      </w:r>
      <w:r>
        <w:rPr>
          <w:rFonts w:ascii="Calibri" w:hAnsi="Calibri"/>
          <w:b w:val="0"/>
          <w:i w:val="0"/>
          <w:sz w:val="21"/>
        </w:rPr>
        <w:t>. Basic Books.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6. </w:t>
      </w:r>
      <w:r>
        <w:rPr>
          <w:rFonts w:ascii="Calibri" w:hAnsi="Calibri"/>
          <w:b/>
          <w:sz w:val="21"/>
        </w:rPr>
        <w:t>Departamento Administrativo Nacional de Estadística - DANE (2024).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alibri" w:hAnsi="Calibri"/>
          <w:i/>
          <w:sz w:val="21"/>
        </w:rPr>
        <w:t>Medición de empleo informal y seguridad social: Trimestre móvil móvil de mercado laboral en Colombia</w:t>
      </w:r>
      <w:r>
        <w:rPr>
          <w:rFonts w:ascii="Calibri" w:hAnsi="Calibri"/>
          <w:b w:val="0"/>
          <w:i w:val="0"/>
          <w:sz w:val="21"/>
        </w:rPr>
        <w:t>. DANE Información Estratégica.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7. </w:t>
      </w:r>
      <w:r>
        <w:rPr>
          <w:rFonts w:ascii="Calibri" w:hAnsi="Calibri"/>
          <w:b/>
          <w:sz w:val="21"/>
        </w:rPr>
        <w:t>Superintendencia Financiera de Colombia - SFC (2023).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alibri" w:hAnsi="Calibri"/>
          <w:i/>
          <w:sz w:val="21"/>
        </w:rPr>
        <w:t>Circular Externa 026 de 2022 y Circular Básica Contable y Jurídica: Sistema de Administración del Riesgo de Crédito (SARC) y Transparencia Algorítmica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8. </w:t>
      </w:r>
      <w:r>
        <w:rPr>
          <w:rFonts w:ascii="Calibri" w:hAnsi="Calibri"/>
          <w:b/>
          <w:sz w:val="21"/>
        </w:rPr>
        <w:t>Congreso de la República de Colombia (2008).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alibri" w:hAnsi="Calibri"/>
          <w:i/>
          <w:sz w:val="21"/>
        </w:rPr>
        <w:t>Ley Estatutaria 1266 de 2008 (Habeas Data Financiero)</w:t>
      </w:r>
      <w:r>
        <w:rPr>
          <w:rFonts w:ascii="Calibri" w:hAnsi="Calibri"/>
          <w:b w:val="0"/>
          <w:i w:val="0"/>
          <w:sz w:val="21"/>
        </w:rPr>
        <w:t xml:space="preserve"> y </w:t>
      </w:r>
      <w:r>
        <w:rPr>
          <w:rFonts w:ascii="Calibri" w:hAnsi="Calibri"/>
          <w:i/>
          <w:sz w:val="21"/>
        </w:rPr>
        <w:t>Ley Estatutaria 1581 de 2012 (Régimen General de Protección de Datos Personales)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9. </w:t>
      </w:r>
      <w:r>
        <w:rPr>
          <w:rFonts w:ascii="Calibri" w:hAnsi="Calibri"/>
          <w:b/>
          <w:sz w:val="21"/>
        </w:rPr>
        <w:t>UNESCO (2021).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alibri" w:hAnsi="Calibri"/>
          <w:i/>
          <w:sz w:val="21"/>
        </w:rPr>
        <w:t>Recomendación sobre la Ética de la Inteligencia Artificial</w:t>
      </w:r>
      <w:r>
        <w:rPr>
          <w:rFonts w:ascii="Calibri" w:hAnsi="Calibri"/>
          <w:b w:val="0"/>
          <w:i w:val="0"/>
          <w:sz w:val="21"/>
        </w:rPr>
        <w:t>. Organización de las Naciones Unidas para la Educación, la Ciencia y la Cultura. Actas de la Conferencia General, 41ª reunión.</w:t>
      </w:r>
    </w:p>
    <w:p>
      <w:pPr>
        <w:spacing w:before="20" w:after="40"/>
        <w:ind w:left="360"/>
      </w:pPr>
      <w:r>
        <w:rPr>
          <w:rFonts w:ascii="Calibri" w:hAnsi="Calibri"/>
          <w:b/>
          <w:color w:val="0B3C5D"/>
          <w:sz w:val="21"/>
        </w:rPr>
        <w:t xml:space="preserve">10. </w:t>
      </w:r>
      <w:r>
        <w:rPr>
          <w:rFonts w:ascii="Calibri" w:hAnsi="Calibri"/>
          <w:b/>
          <w:sz w:val="21"/>
        </w:rPr>
        <w:t>Google DeepMind (2024).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alibri" w:hAnsi="Calibri"/>
          <w:i/>
          <w:sz w:val="21"/>
        </w:rPr>
        <w:t>Gemini Models: Technical Report and Guidelines on Responsible Generative AI Usage</w:t>
      </w:r>
      <w:r>
        <w:rPr>
          <w:rFonts w:ascii="Calibri" w:hAnsi="Calibri"/>
          <w:b w:val="0"/>
          <w:i w:val="0"/>
          <w:sz w:val="21"/>
        </w:rPr>
        <w:t>. Google Research.</w:t>
      </w:r>
    </w:p>
    <w:p>
      <w:pPr>
        <w:spacing w:before="120" w:after="120"/>
        <w:pBdr>
          <w:bottom w:val="single" w:sz="6" w:space="1" w:color="0B3C5D"/>
        </w:pBdr>
      </w:pPr>
    </w:p>
    <w:p>
      <w:pPr>
        <w:spacing w:before="40" w:after="60" w:line="276" w:lineRule="auto"/>
      </w:pPr>
      <w:r>
        <w:rPr>
          <w:rFonts w:ascii="Calibri" w:hAnsi="Calibri"/>
          <w:i/>
          <w:sz w:val="21"/>
        </w:rPr>
        <w:t>Documento elaborado y validado por el Grupo 5 de Ciencia de Datos y Emprendimiento, Universidad Externado de Colombia.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5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