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646464"/>
          <w:sz w:val="20"/>
        </w:rPr>
        <w:t>UNIVERSIDAD EXTERNADO DE COLOMBIA</w:t>
        <w:br/>
        <w:t>PREGRADO EN CIENCIA DE DATOS — EMPRENDIMIENTO</w:t>
        <w:br/>
      </w:r>
      <w:r>
        <w:rPr>
          <w:b/>
          <w:color w:val="0F2240"/>
          <w:sz w:val="40"/>
        </w:rPr>
        <w:t>TALLER 3: FEEDBACK Y PRESENTACIÓN DE LA IDEA</w:t>
        <w:br/>
      </w:r>
      <w:r>
        <w:rPr>
          <w:i/>
          <w:color w:val="1E4678"/>
          <w:sz w:val="26"/>
        </w:rPr>
        <w:t>Proyecto: StatCredit AI — Scoring Alternativo e Inferencia Causal B2B</w:t>
        <w:br/>
      </w:r>
    </w:p>
    <w:p>
      <w:pPr>
        <w:spacing w:before="160" w:after="320"/>
        <w:jc w:val="center"/>
      </w:pPr>
      <w:r>
        <w:rPr>
          <w:b/>
          <w:sz w:val="20"/>
        </w:rPr>
        <w:t>Grupo 5: Santiago Sandoval | Sebastián Ramos | Julián Duarte | Tomás Rincón | Julián Jiménez</w:t>
      </w:r>
    </w:p>
    <w:p>
      <w:pPr>
        <w:spacing w:after="120"/>
      </w:pPr>
    </w:p>
    <w:p>
      <w:pPr>
        <w:pStyle w:val="Heading1"/>
        <w:spacing w:before="280" w:after="120"/>
      </w:pPr>
      <w:r>
        <w:rPr>
          <w:b/>
          <w:color w:val="0F2240"/>
          <w:sz w:val="32"/>
        </w:rPr>
        <w:t>1. ANÁLISIS DEL PROBLEMA SEGÚN BIANCHI &amp; VERGANTI (2021)</w:t>
      </w:r>
    </w:p>
    <w:p>
      <w:pPr>
        <w:spacing w:after="120"/>
      </w:pPr>
      <w:r>
        <w:rPr>
          <w:color w:val="282828"/>
        </w:rPr>
        <w:t xml:space="preserve">El diagnóstico estratégico de StatCredit AI se fundamenta en el marco conceptual de </w:t>
      </w:r>
      <w:r>
        <w:rPr>
          <w:b/>
        </w:rPr>
        <w:t>Problem Framing &amp; Reframing (Bianchi &amp; Verganti, 2021)</w:t>
      </w:r>
      <w:r>
        <w:rPr>
          <w:color w:val="282828"/>
        </w:rPr>
        <w:t xml:space="preserve">, el cual plantea que la innovación disruptiva surge no solo de resolver un problema existente con mejores algoritmos, sino de </w:t>
      </w:r>
      <w:r>
        <w:rPr>
          <w:b/>
        </w:rPr>
        <w:t>crear un marco (frame) totalmente nuevo que otorgue un sentido inédito a la situación.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Pr>
          <w:p>
            <w:pPr>
              <w:spacing w:after="80"/>
            </w:pPr>
            <w:r>
              <w:rPr>
                <w:b/>
                <w:color w:val="0F2240"/>
              </w:rPr>
              <w:t>REENCUADRE ESTRATÉGICO DEL PROBLEMA (REFRAMING):</w:t>
              <w:br/>
            </w:r>
            <w:r>
              <w:rPr>
                <w:b/>
              </w:rPr>
              <w:t xml:space="preserve">• Problema Visible Tradicional: </w:t>
            </w:r>
            <w:r>
              <w:t>«Los trabajadores independientes y micronegocios no tienen historial crediticio formal en centrales de riesgo (DataCrédito/TransUnion) y, por lo tanto, representan un alto riesgo de morosidad para el sistema bancario.»</w:t>
              <w:br/>
              <w:br/>
            </w:r>
            <w:r>
              <w:rPr>
                <w:b/>
              </w:rPr>
              <w:t xml:space="preserve">• Reencuadre StatCredit AI: </w:t>
            </w:r>
            <w:r>
              <w:t>«Los trabajadores independientes sí poseen una intensa actividad financiera y transaccional diaria (billeteras digitales, facturación electrónica, transferencias), pero esta información se encuentra fragmentada y los modelos lineales tradicionales carecen de la capacidad metodológica para interpretarla como un activo de repago.»</w:t>
              <w:br/>
              <w:br/>
            </w:r>
            <w:r>
              <w:rPr>
                <w:b/>
              </w:rPr>
              <w:t xml:space="preserve">• Enunciado Insignia del Marco: </w:t>
            </w:r>
            <w:r>
              <w:rPr>
                <w:b/>
                <w:i/>
                <w:color w:val="1E4678"/>
              </w:rPr>
              <w:t>“No buscamos cambiar quién puede acceder al crédito; buscamos cambiar la forma en que se mide quién puede pagarlo.”</w:t>
            </w:r>
          </w:p>
        </w:tc>
      </w:tr>
    </w:tbl>
    <w:p>
      <w:pPr>
        <w:spacing w:after="120"/>
      </w:pPr>
    </w:p>
    <w:p>
      <w:pPr>
        <w:pStyle w:val="Heading2"/>
        <w:spacing w:before="280" w:after="120"/>
      </w:pPr>
      <w:r>
        <w:rPr>
          <w:b/>
          <w:color w:val="1E4678"/>
          <w:sz w:val="26"/>
        </w:rPr>
        <w:t>Los 4 Movimientos de Diseño de Problemas (Bianchi &amp; Verganti, 2021)</w:t>
      </w:r>
    </w:p>
    <w:p>
      <w:pPr>
        <w:spacing w:after="80"/>
        <w:ind w:left="288"/>
      </w:pPr>
      <w:r>
        <w:rPr>
          <w:b/>
          <w:color w:val="0F2240"/>
        </w:rPr>
        <w:t>1. De Déficit a Potencial:</w:t>
      </w:r>
      <w:r>
        <w:t xml:space="preserve"> El comerciante o independiente no «carece» de historial crediticio: posee un historial transaccional real y diario que no ha sido convertido en métricas financieras auditables.</w:t>
      </w:r>
    </w:p>
    <w:p>
      <w:pPr>
        <w:spacing w:after="80"/>
        <w:ind w:left="288"/>
      </w:pPr>
      <w:r>
        <w:rPr>
          <w:b/>
          <w:color w:val="0F2240"/>
        </w:rPr>
        <w:t>2. De Problema a Oportunidad:</w:t>
      </w:r>
      <w:r>
        <w:t xml:space="preserve"> La banca no rechaza independientes por malicia; existe la oportunidad de expandir la colocación crediticia rentable a un mercado desatendido de más de 13 millones de personas.</w:t>
      </w:r>
    </w:p>
    <w:p>
      <w:pPr>
        <w:spacing w:after="80"/>
        <w:ind w:left="288"/>
      </w:pPr>
      <w:r>
        <w:rPr>
          <w:b/>
          <w:color w:val="0F2240"/>
        </w:rPr>
        <w:t>3. De Intuición a Evidencia:</w:t>
      </w:r>
      <w:r>
        <w:t xml:space="preserve"> Se sustituye el juicio subjetivo o discrecional del oficial de crédito por modelos probabilísticos bayesianos e inferencia causal de Machine Learning respaldados en datos reales.</w:t>
      </w:r>
    </w:p>
    <w:p>
      <w:pPr>
        <w:spacing w:after="80"/>
        <w:ind w:left="288"/>
      </w:pPr>
      <w:r>
        <w:rPr>
          <w:b/>
          <w:color w:val="0F2240"/>
        </w:rPr>
        <w:t>4. De Decisión Binaria a Probabilística:</w:t>
      </w:r>
      <w:r>
        <w:t xml:space="preserve"> Se abandona la lógica rígida de «Aprobar/Rechazar» por un score probabilístico calibrado con explicabilidad SHAP (XAI) que permite estructurar primas de riesgo y cupos graduales.</w:t>
      </w:r>
    </w:p>
    <w:p>
      <w:pPr>
        <w:pStyle w:val="Heading2"/>
        <w:spacing w:before="280" w:after="120"/>
      </w:pPr>
      <w:r>
        <w:rPr>
          <w:b/>
          <w:color w:val="1E4678"/>
          <w:sz w:val="26"/>
        </w:rPr>
        <w:t>Creación de Nuevo Sentido y Desafío a Supuestos Dominantes</w:t>
      </w:r>
    </w:p>
    <w:p>
      <w:pPr>
        <w:spacing w:after="120"/>
      </w:pPr>
      <w:r>
        <w:rPr>
          <w:b/>
        </w:rPr>
        <w:t xml:space="preserve">• Innovation of Meaning: </w:t>
      </w:r>
      <w:r>
        <w:t>Historicamente, la informalidad se asumía como una anomalía defectuosa que debía formalizarse antes de ser financiada. StatCredit AI dota de un nuevo sentido al fenómeno: el trabajo independiente es el motor vivo de la economía real y su flujo transaccional constituye un activo de datos directamente monetizable y evaluable.</w:t>
      </w:r>
    </w:p>
    <w:p>
      <w:pPr>
        <w:spacing w:after="80"/>
        <w:ind w:left="288"/>
      </w:pPr>
      <w:r>
        <w:rPr>
          <w:b/>
        </w:rPr>
        <w:t>Axioma Dominante 1:</w:t>
      </w:r>
      <w:r>
        <w:rPr>
          <w:i/>
        </w:rPr>
        <w:t xml:space="preserve"> «Solo un contrato laboral indefinido garantiza la persistencia del ingreso.» </w:t>
      </w:r>
      <w:r>
        <w:t>Refutación: En Colombia la rotación laboral formal es alta; la pérdida del empleo extingue el 100% de la fuente de repago, mientras que los independientes diversifican clientes y fuentes de ingreso.</w:t>
      </w:r>
    </w:p>
    <w:p>
      <w:pPr>
        <w:spacing w:after="80"/>
        <w:ind w:left="288"/>
      </w:pPr>
      <w:r>
        <w:rPr>
          <w:b/>
        </w:rPr>
        <w:t>Axioma Dominante 2:</w:t>
      </w:r>
      <w:r>
        <w:rPr>
          <w:i/>
        </w:rPr>
        <w:t xml:space="preserve"> «Quien no figura en burós de crédito carece de reputación financiera.» </w:t>
      </w:r>
      <w:r>
        <w:t>Refutación: Los micronegocios operan bajo redes de crédito comercial informal y cumplimiento de pago riguroso con proveedores mayoristas.</w:t>
      </w:r>
    </w:p>
    <w:p>
      <w:pPr>
        <w:spacing w:after="80"/>
        <w:ind w:left="288"/>
      </w:pPr>
      <w:r>
        <w:rPr>
          <w:b/>
        </w:rPr>
        <w:t>Axioma Dominante 3:</w:t>
      </w:r>
      <w:r>
        <w:rPr>
          <w:i/>
        </w:rPr>
        <w:t xml:space="preserve"> «Los modelos de regresión logística lineal son suficientes.» </w:t>
      </w:r>
      <w:r>
        <w:t>Refutación: El riesgo en independientes presenta dinámicas complejas no lineales que requieren arquitecturas bayesianas e inferencia causal.</w:t>
      </w:r>
    </w:p>
    <w:p>
      <w:pPr>
        <w:spacing w:after="160"/>
      </w:pPr>
    </w:p>
    <w:p>
      <w:pPr>
        <w:pStyle w:val="Heading1"/>
        <w:spacing w:before="280" w:after="120"/>
      </w:pPr>
      <w:r>
        <w:rPr>
          <w:b/>
          <w:color w:val="0F2240"/>
          <w:sz w:val="32"/>
        </w:rPr>
        <w:t>2. DIAGNOSTICO SISTEMICO: DIAGRAMA DE ESPINA DE PESCADO (ISHIKAWA)</w:t>
      </w:r>
    </w:p>
    <w:p>
      <w:pPr>
        <w:spacing w:after="160"/>
      </w:pPr>
      <w:r>
        <w:t>El diagnóstico causal de StatCredit AI demuestra que la exclusión financiera del independiente no se debe a un único factor aislado, sino a la convergencia sistémica de causas duras (infraestructura y tecnología) y causas blandas (cultura y regulación):</w:t>
      </w:r>
    </w:p>
    <w:tbl>
      <w:tblPr>
        <w:tblW w:type="auto" w:w="0"/>
        <w:jc w:val="center"/>
        <w:tblLook w:firstColumn="1" w:firstRow="1" w:lastColumn="0" w:lastRow="0" w:noHBand="0" w:noVBand="1" w:val="04A0"/>
      </w:tblPr>
      <w:tblGrid>
        <w:gridCol w:w="4680"/>
        <w:gridCol w:w="4680"/>
      </w:tblGrid>
      <w:tr>
        <w:tc>
          <w:tcPr>
            <w:tcW w:type="dxa" w:w="4680"/>
            <w:shd w:fill="0F2240"/>
          </w:tcPr>
          <w:p>
            <w:r>
              <w:rPr>
                <w:b/>
                <w:color w:val="FFFFFF"/>
              </w:rPr>
              <w:t>EJE CAUSAL SISTÉMICO</w:t>
            </w:r>
          </w:p>
        </w:tc>
        <w:tc>
          <w:tcPr>
            <w:tcW w:type="dxa" w:w="4680"/>
            <w:shd w:fill="0F2240"/>
          </w:tcPr>
          <w:p>
            <w:r>
              <w:rPr>
                <w:b/>
                <w:color w:val="FFFFFF"/>
              </w:rPr>
              <w:t>DETALLE DE CAUSAS Y FACTORES RAÍZ</w:t>
            </w:r>
          </w:p>
        </w:tc>
      </w:tr>
      <w:tr>
        <w:tc>
          <w:tcPr>
            <w:tcW w:type="dxa" w:w="4680"/>
            <w:shd w:fill="F9FAFB"/>
            <w:tcMar>
              <w:top w:w="100" w:type="dxa"/>
              <w:bottom w:w="100" w:type="dxa"/>
              <w:left w:w="120" w:type="dxa"/>
              <w:right w:w="120" w:type="dxa"/>
            </w:tcMar>
          </w:tcPr>
          <w:p>
            <w:r>
              <w:rPr>
                <w:b/>
                <w:color w:val="0F2240"/>
              </w:rPr>
              <w:t>1. Datos y Conectividad</w:t>
              <w:br/>
              <w:t>(Infraestructura Dura)</w:t>
            </w:r>
          </w:p>
        </w:tc>
        <w:tc>
          <w:tcPr>
            <w:tcW w:type="dxa" w:w="4680"/>
            <w:shd w:fill="F9FAFB"/>
            <w:tcMar>
              <w:top w:w="100" w:type="dxa"/>
              <w:bottom w:w="100" w:type="dxa"/>
              <w:left w:w="120" w:type="dxa"/>
              <w:right w:w="120" w:type="dxa"/>
            </w:tcMar>
          </w:tcPr>
          <w:p>
            <w:r>
              <w:t>• Alta dispersión de pagos en efectivo e informalidad documental.</w:t>
              <w:br/>
              <w:t>• Silos de información cerrados entre entidades financieras.</w:t>
              <w:br/>
              <w:t>• Falta de estandarización y adopción completa de APIs de Open Finance.</w:t>
            </w:r>
          </w:p>
        </w:tc>
      </w:tr>
      <w:tr>
        <w:tc>
          <w:tcPr>
            <w:tcW w:type="dxa" w:w="4680"/>
            <w:shd w:fill="FFFFFF"/>
            <w:tcMar>
              <w:top w:w="100" w:type="dxa"/>
              <w:bottom w:w="100" w:type="dxa"/>
              <w:left w:w="120" w:type="dxa"/>
              <w:right w:w="120" w:type="dxa"/>
            </w:tcMar>
          </w:tcPr>
          <w:p>
            <w:r>
              <w:rPr>
                <w:b/>
                <w:color w:val="0F2240"/>
              </w:rPr>
              <w:t>2. Metodologías y Algoritmos</w:t>
              <w:br/>
              <w:t>(Tecnología Dura)</w:t>
            </w:r>
          </w:p>
        </w:tc>
        <w:tc>
          <w:tcPr>
            <w:tcW w:type="dxa" w:w="4680"/>
            <w:shd w:fill="FFFFFF"/>
            <w:tcMar>
              <w:top w:w="100" w:type="dxa"/>
              <w:bottom w:w="100" w:type="dxa"/>
              <w:left w:w="120" w:type="dxa"/>
              <w:right w:w="120" w:type="dxa"/>
            </w:tcMar>
          </w:tcPr>
          <w:p>
            <w:r>
              <w:t>• Predominio de regresiones logísticas tradicionales rígidas e incapaces de evaluar no linealidades.</w:t>
              <w:br/>
              <w:t>• Inexistencia de motores de inferencia causal para separar correlación de capacidad de pago.</w:t>
              <w:br/>
              <w:t>• Opacidad algorítmica (caja negra) que impide justificar la decisión.</w:t>
            </w:r>
          </w:p>
        </w:tc>
      </w:tr>
      <w:tr>
        <w:tc>
          <w:tcPr>
            <w:tcW w:type="dxa" w:w="4680"/>
            <w:shd w:fill="F9FAFB"/>
            <w:tcMar>
              <w:top w:w="100" w:type="dxa"/>
              <w:bottom w:w="100" w:type="dxa"/>
              <w:left w:w="120" w:type="dxa"/>
              <w:right w:w="120" w:type="dxa"/>
            </w:tcMar>
          </w:tcPr>
          <w:p>
            <w:r>
              <w:rPr>
                <w:b/>
                <w:color w:val="0F2240"/>
              </w:rPr>
              <w:t>3. Cultura y Percepción</w:t>
              <w:br/>
              <w:t>(Causas Blandas)</w:t>
            </w:r>
          </w:p>
        </w:tc>
        <w:tc>
          <w:tcPr>
            <w:tcW w:type="dxa" w:w="4680"/>
            <w:shd w:fill="F9FAFB"/>
            <w:tcMar>
              <w:top w:w="100" w:type="dxa"/>
              <w:bottom w:w="100" w:type="dxa"/>
              <w:left w:w="120" w:type="dxa"/>
              <w:right w:w="120" w:type="dxa"/>
            </w:tcMar>
          </w:tcPr>
          <w:p>
            <w:r>
              <w:t>• Sesgo cognitivo institucional: «Asalariado formal = Cliente seguro».</w:t>
              <w:br/>
              <w:t>• Desconfianza histórica de los comités de riesgo hacia el trabajador independiente.</w:t>
              <w:br/>
              <w:t>• Aversión del oficial de crédito a auditar soportes transaccionales no convencionales.</w:t>
            </w:r>
          </w:p>
        </w:tc>
      </w:tr>
      <w:tr>
        <w:tc>
          <w:tcPr>
            <w:tcW w:type="dxa" w:w="4680"/>
            <w:shd w:fill="FFFFFF"/>
            <w:tcMar>
              <w:top w:w="100" w:type="dxa"/>
              <w:bottom w:w="100" w:type="dxa"/>
              <w:left w:w="120" w:type="dxa"/>
              <w:right w:w="120" w:type="dxa"/>
            </w:tcMar>
          </w:tcPr>
          <w:p>
            <w:r>
              <w:rPr>
                <w:b/>
                <w:color w:val="0F2240"/>
              </w:rPr>
              <w:t>4. Regulación y Producto</w:t>
              <w:br/>
              <w:t>(Entorno Normativo)</w:t>
            </w:r>
          </w:p>
        </w:tc>
        <w:tc>
          <w:tcPr>
            <w:tcW w:type="dxa" w:w="4680"/>
            <w:shd w:fill="FFFFFF"/>
            <w:tcMar>
              <w:top w:w="100" w:type="dxa"/>
              <w:bottom w:w="100" w:type="dxa"/>
              <w:left w:w="120" w:type="dxa"/>
              <w:right w:w="120" w:type="dxa"/>
            </w:tcMar>
          </w:tcPr>
          <w:p>
            <w:r>
              <w:t>• Parámetros del SARC (Circular 026) orientados a colaterales y nóminas tradicionales.</w:t>
              <w:br/>
              <w:t>• Ausencia de productos crediticios de capital de trabajo adaptados a flujos de caja variables.</w:t>
              <w:br/>
              <w:t>• Temor a sanciones de la Superintendencia por falta de explicabilidad algorítmica.</w:t>
            </w:r>
          </w:p>
        </w:tc>
      </w:tr>
    </w:tbl>
    <w:p>
      <w:pPr>
        <w:spacing w:after="160"/>
      </w:pPr>
    </w:p>
    <w:p>
      <w:pPr>
        <w:pStyle w:val="Heading1"/>
        <w:spacing w:before="280" w:after="120"/>
      </w:pPr>
      <w:r>
        <w:rPr>
          <w:b/>
          <w:color w:val="0F2240"/>
          <w:sz w:val="32"/>
        </w:rPr>
        <w:t>3. RELEVANCIA DEL PROBLEMA Y CONSECUENCIAS DE LA INACCIÓN</w:t>
      </w:r>
    </w:p>
    <w:p>
      <w:pPr>
        <w:spacing w:after="160"/>
      </w:pPr>
      <w:r>
        <w:t>El problema abordado por StatCredit AI posee un impacto crítico en tres dimensiones interconectadas:</w:t>
      </w:r>
    </w:p>
    <w:tbl>
      <w:tblPr>
        <w:tblW w:type="auto" w:w="0"/>
        <w:jc w:val="center"/>
        <w:tblLook w:firstColumn="1" w:firstRow="1" w:lastColumn="0" w:lastRow="0" w:noHBand="0" w:noVBand="1" w:val="04A0"/>
      </w:tblPr>
      <w:tblGrid>
        <w:gridCol w:w="3120"/>
        <w:gridCol w:w="3120"/>
        <w:gridCol w:w="3120"/>
      </w:tblGrid>
      <w:tr>
        <w:tc>
          <w:tcPr>
            <w:tcW w:type="dxa" w:w="3120"/>
            <w:shd w:fill="0F2240"/>
          </w:tcPr>
          <w:p>
            <w:r>
              <w:rPr>
                <w:b/>
                <w:color w:val="FFFFFF"/>
              </w:rPr>
              <w:t>DIMENSIÓN</w:t>
            </w:r>
          </w:p>
        </w:tc>
        <w:tc>
          <w:tcPr>
            <w:tcW w:type="dxa" w:w="3120"/>
            <w:shd w:fill="0F2240"/>
          </w:tcPr>
          <w:p>
            <w:r>
              <w:rPr>
                <w:b/>
                <w:color w:val="FFFFFF"/>
              </w:rPr>
              <w:t>RELEVANCIA ACTUAL DEL PROBLEMA</w:t>
            </w:r>
          </w:p>
        </w:tc>
        <w:tc>
          <w:tcPr>
            <w:tcW w:type="dxa" w:w="3120"/>
            <w:shd w:fill="0F2240"/>
          </w:tcPr>
          <w:p>
            <w:r>
              <w:rPr>
                <w:b/>
                <w:color w:val="FFFFFF"/>
              </w:rPr>
              <w:t>CONSECUENCIAS SI NO SE RESUELVE (INACCIÓN)</w:t>
            </w:r>
          </w:p>
        </w:tc>
      </w:tr>
      <w:tr>
        <w:tc>
          <w:tcPr>
            <w:tcW w:type="dxa" w:w="3120"/>
            <w:shd w:fill="F9FAFB"/>
            <w:tcMar>
              <w:top w:w="100" w:type="dxa"/>
              <w:bottom w:w="100" w:type="dxa"/>
              <w:left w:w="100" w:type="dxa"/>
              <w:right w:w="100" w:type="dxa"/>
            </w:tcMar>
          </w:tcPr>
          <w:p>
            <w:r>
              <w:rPr>
                <w:b/>
                <w:color w:val="0F2240"/>
              </w:rPr>
              <w:t>Macroeconómica</w:t>
              <w:br/>
              <w:t>(Nivel País)</w:t>
            </w:r>
          </w:p>
        </w:tc>
        <w:tc>
          <w:tcPr>
            <w:tcW w:type="dxa" w:w="3120"/>
            <w:shd w:fill="F9FAFB"/>
            <w:tcMar>
              <w:top w:w="100" w:type="dxa"/>
              <w:bottom w:w="100" w:type="dxa"/>
              <w:left w:w="100" w:type="dxa"/>
              <w:right w:w="100" w:type="dxa"/>
            </w:tcMar>
          </w:tcPr>
          <w:p>
            <w:r>
              <w:t>Más de 13 millones de independientes sostienen la reactivación productiva y el empleo informal en Colombia (&gt;40% del PIB).</w:t>
            </w:r>
          </w:p>
        </w:tc>
        <w:tc>
          <w:tcPr>
            <w:tcW w:type="dxa" w:w="3120"/>
            <w:shd w:fill="F9FAFB"/>
            <w:tcMar>
              <w:top w:w="100" w:type="dxa"/>
              <w:bottom w:w="100" w:type="dxa"/>
              <w:left w:w="100" w:type="dxa"/>
              <w:right w:w="100" w:type="dxa"/>
            </w:tcMar>
          </w:tcPr>
          <w:p>
            <w:r>
              <w:t>Expansión del crédito usurero criminal («Gota a Gota») a tasas &gt;500% anuales, financiamiento de economías ilegales y violencia urbana.</w:t>
            </w:r>
          </w:p>
        </w:tc>
      </w:tr>
      <w:tr>
        <w:tc>
          <w:tcPr>
            <w:tcW w:type="dxa" w:w="3120"/>
            <w:shd w:fill="FFFFFF"/>
            <w:tcMar>
              <w:top w:w="100" w:type="dxa"/>
              <w:bottom w:w="100" w:type="dxa"/>
              <w:left w:w="100" w:type="dxa"/>
              <w:right w:w="100" w:type="dxa"/>
            </w:tcMar>
          </w:tcPr>
          <w:p>
            <w:r>
              <w:rPr>
                <w:b/>
                <w:color w:val="0F2240"/>
              </w:rPr>
              <w:t>Financiera</w:t>
              <w:br/>
              <w:t>(Banca / Fintechs)</w:t>
            </w:r>
          </w:p>
        </w:tc>
        <w:tc>
          <w:tcPr>
            <w:tcW w:type="dxa" w:w="3120"/>
            <w:shd w:fill="FFFFFF"/>
            <w:tcMar>
              <w:top w:w="100" w:type="dxa"/>
              <w:bottom w:w="100" w:type="dxa"/>
              <w:left w:w="100" w:type="dxa"/>
              <w:right w:w="100" w:type="dxa"/>
            </w:tcMar>
          </w:tcPr>
          <w:p>
            <w:r>
              <w:t>Saturación de los mismos 6 millones de asalariados bancarizados, destruyendo márgenes de intermediación crediticia.</w:t>
            </w:r>
          </w:p>
        </w:tc>
        <w:tc>
          <w:tcPr>
            <w:tcW w:type="dxa" w:w="3120"/>
            <w:shd w:fill="FFFFFF"/>
            <w:tcMar>
              <w:top w:w="100" w:type="dxa"/>
              <w:bottom w:w="100" w:type="dxa"/>
              <w:left w:w="100" w:type="dxa"/>
              <w:right w:w="100" w:type="dxa"/>
            </w:tcMar>
          </w:tcPr>
          <w:p>
            <w:r>
              <w:t>Canibalización de cartera entre entidades tradicionales y pérdidas millonarias en fintechs por otorgar crédito a ciegas sin modelos adecuados.</w:t>
            </w:r>
          </w:p>
        </w:tc>
      </w:tr>
      <w:tr>
        <w:tc>
          <w:tcPr>
            <w:tcW w:type="dxa" w:w="3120"/>
            <w:shd w:fill="F9FAFB"/>
            <w:tcMar>
              <w:top w:w="100" w:type="dxa"/>
              <w:bottom w:w="100" w:type="dxa"/>
              <w:left w:w="100" w:type="dxa"/>
              <w:right w:w="100" w:type="dxa"/>
            </w:tcMar>
          </w:tcPr>
          <w:p>
            <w:r>
              <w:rPr>
                <w:b/>
                <w:color w:val="0F2240"/>
              </w:rPr>
              <w:t>Social y Empresarial</w:t>
              <w:br/>
              <w:t>(Micronegocios)</w:t>
            </w:r>
          </w:p>
        </w:tc>
        <w:tc>
          <w:tcPr>
            <w:tcW w:type="dxa" w:w="3120"/>
            <w:shd w:fill="F9FAFB"/>
            <w:tcMar>
              <w:top w:w="100" w:type="dxa"/>
              <w:bottom w:w="100" w:type="dxa"/>
              <w:left w:w="100" w:type="dxa"/>
              <w:right w:w="100" w:type="dxa"/>
            </w:tcMar>
          </w:tcPr>
          <w:p>
            <w:r>
              <w:t>El 92% de las unidades productivas son micronegocios independientes que requieren capital de trabajo para insumos y activos.</w:t>
            </w:r>
          </w:p>
        </w:tc>
        <w:tc>
          <w:tcPr>
            <w:tcW w:type="dxa" w:w="3120"/>
            <w:shd w:fill="F9FAFB"/>
            <w:tcMar>
              <w:top w:w="100" w:type="dxa"/>
              <w:bottom w:w="100" w:type="dxa"/>
              <w:left w:w="100" w:type="dxa"/>
              <w:right w:w="100" w:type="dxa"/>
            </w:tcMar>
          </w:tcPr>
          <w:p>
            <w:r>
              <w:t>Muerte prematura de micronegocios por falta de liquidez, imposibilidad de comprar a costo mayorista y trampas de pobreza intergeneracional.</w:t>
            </w:r>
          </w:p>
        </w:tc>
      </w:tr>
    </w:tbl>
    <w:p>
      <w:pPr>
        <w:spacing w:after="160"/>
      </w:pPr>
    </w:p>
    <w:p>
      <w:pPr>
        <w:pStyle w:val="Heading1"/>
        <w:spacing w:before="280" w:after="120"/>
      </w:pPr>
      <w:r>
        <w:rPr>
          <w:b/>
          <w:color w:val="0F2240"/>
          <w:sz w:val="32"/>
        </w:rPr>
        <w:t>4. ANÁLISIS DE LA COMPETENCIA ACTUAL (ESTRATEGIA, ESTRUCTURA Y RIVALIDAD)</w:t>
      </w:r>
    </w:p>
    <w:p>
      <w:pPr>
        <w:spacing w:after="160"/>
      </w:pPr>
      <w:r>
        <w:t>Se evalúan 5 competidores clave en Colombia y Latinoamérica indicando las 8 variables estratégicas requeridas:</w:t>
      </w:r>
    </w:p>
    <w:p>
      <w:pPr>
        <w:pStyle w:val="Heading2"/>
        <w:spacing w:before="280" w:after="120"/>
      </w:pPr>
      <w:r>
        <w:rPr>
          <w:b/>
          <w:color w:val="1E4678"/>
          <w:sz w:val="26"/>
        </w:rPr>
        <w:t>1. DATACRÉDITO EXPERIAN</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00" w:type="dxa"/>
              <w:right w:w="100" w:type="dxa"/>
            </w:tcMar>
          </w:tcPr>
          <w:p>
            <w:r>
              <w:rPr>
                <w:b/>
                <w:color w:val="0F2240"/>
              </w:rPr>
              <w:t>1. Nombre de la Empresa</w:t>
            </w:r>
          </w:p>
        </w:tc>
        <w:tc>
          <w:tcPr>
            <w:tcW w:type="dxa" w:w="4680"/>
            <w:shd w:fill="F0F4F8"/>
            <w:tcMar>
              <w:top w:w="80" w:type="dxa"/>
              <w:bottom w:w="80" w:type="dxa"/>
              <w:left w:w="100" w:type="dxa"/>
              <w:right w:w="100" w:type="dxa"/>
            </w:tcMar>
          </w:tcPr>
          <w:p>
            <w:r>
              <w:t>DataCrédito Experian Colombia S.A.</w:t>
            </w:r>
          </w:p>
        </w:tc>
      </w:tr>
      <w:tr>
        <w:tc>
          <w:tcPr>
            <w:tcW w:type="dxa" w:w="4680"/>
            <w:shd w:fill="FFFFFF"/>
            <w:tcMar>
              <w:top w:w="80" w:type="dxa"/>
              <w:bottom w:w="80" w:type="dxa"/>
              <w:left w:w="100" w:type="dxa"/>
              <w:right w:w="100" w:type="dxa"/>
            </w:tcMar>
          </w:tcPr>
          <w:p>
            <w:r>
              <w:rPr>
                <w:b/>
                <w:color w:val="0F2240"/>
              </w:rPr>
              <w:t>2. Actividad Comercial</w:t>
            </w:r>
          </w:p>
        </w:tc>
        <w:tc>
          <w:tcPr>
            <w:tcW w:type="dxa" w:w="4680"/>
            <w:shd w:fill="FFFFFF"/>
            <w:tcMar>
              <w:top w:w="80" w:type="dxa"/>
              <w:bottom w:w="80" w:type="dxa"/>
              <w:left w:w="100" w:type="dxa"/>
              <w:right w:w="100" w:type="dxa"/>
            </w:tcMar>
          </w:tcPr>
          <w:p>
            <w:r>
              <w:t>Buró de crédito y central de información financiera tradicional.</w:t>
            </w:r>
          </w:p>
        </w:tc>
      </w:tr>
      <w:tr>
        <w:tc>
          <w:tcPr>
            <w:tcW w:type="dxa" w:w="4680"/>
            <w:shd w:fill="F0F4F8"/>
            <w:tcMar>
              <w:top w:w="80" w:type="dxa"/>
              <w:bottom w:w="80" w:type="dxa"/>
              <w:left w:w="100" w:type="dxa"/>
              <w:right w:w="100" w:type="dxa"/>
            </w:tcMar>
          </w:tcPr>
          <w:p>
            <w:r>
              <w:rPr>
                <w:b/>
                <w:color w:val="0F2240"/>
              </w:rPr>
              <w:t>3. Problema que Resuelven</w:t>
            </w:r>
          </w:p>
        </w:tc>
        <w:tc>
          <w:tcPr>
            <w:tcW w:type="dxa" w:w="4680"/>
            <w:shd w:fill="F0F4F8"/>
            <w:tcMar>
              <w:top w:w="80" w:type="dxa"/>
              <w:bottom w:w="80" w:type="dxa"/>
              <w:left w:w="100" w:type="dxa"/>
              <w:right w:w="100" w:type="dxa"/>
            </w:tcMar>
          </w:tcPr>
          <w:p>
            <w:r>
              <w:t>Centraliza el historial de endeudamiento y mora bancaria y comercial formal.</w:t>
            </w:r>
          </w:p>
        </w:tc>
      </w:tr>
      <w:tr>
        <w:tc>
          <w:tcPr>
            <w:tcW w:type="dxa" w:w="4680"/>
            <w:shd w:fill="FFFFFF"/>
            <w:tcMar>
              <w:top w:w="80" w:type="dxa"/>
              <w:bottom w:w="80" w:type="dxa"/>
              <w:left w:w="100" w:type="dxa"/>
              <w:right w:w="100" w:type="dxa"/>
            </w:tcMar>
          </w:tcPr>
          <w:p>
            <w:r>
              <w:rPr>
                <w:b/>
                <w:color w:val="0F2240"/>
              </w:rPr>
              <w:t>4. Principal Producto</w:t>
            </w:r>
          </w:p>
        </w:tc>
        <w:tc>
          <w:tcPr>
            <w:tcW w:type="dxa" w:w="4680"/>
            <w:shd w:fill="FFFFFF"/>
            <w:tcMar>
              <w:top w:w="80" w:type="dxa"/>
              <w:bottom w:w="80" w:type="dxa"/>
              <w:left w:w="100" w:type="dxa"/>
              <w:right w:w="100" w:type="dxa"/>
            </w:tcMar>
          </w:tcPr>
          <w:p>
            <w:r>
              <w:t>Score DataCrédito (scoring tradicional de 150 a 950 puntos).</w:t>
            </w:r>
          </w:p>
        </w:tc>
      </w:tr>
      <w:tr>
        <w:tc>
          <w:tcPr>
            <w:tcW w:type="dxa" w:w="4680"/>
            <w:shd w:fill="F0F4F8"/>
            <w:tcMar>
              <w:top w:w="80" w:type="dxa"/>
              <w:bottom w:w="80" w:type="dxa"/>
              <w:left w:w="100" w:type="dxa"/>
              <w:right w:w="100" w:type="dxa"/>
            </w:tcMar>
          </w:tcPr>
          <w:p>
            <w:r>
              <w:rPr>
                <w:b/>
                <w:color w:val="0F2240"/>
              </w:rPr>
              <w:t>5. Ciudades/Países de Operación</w:t>
            </w:r>
          </w:p>
        </w:tc>
        <w:tc>
          <w:tcPr>
            <w:tcW w:type="dxa" w:w="4680"/>
            <w:shd w:fill="F0F4F8"/>
            <w:tcMar>
              <w:top w:w="80" w:type="dxa"/>
              <w:bottom w:w="80" w:type="dxa"/>
              <w:left w:w="100" w:type="dxa"/>
              <w:right w:w="100" w:type="dxa"/>
            </w:tcMar>
          </w:tcPr>
          <w:p>
            <w:r>
              <w:t>Nacional en Colombia; filial de Experian plc (global en más de 40 países).</w:t>
            </w:r>
          </w:p>
        </w:tc>
      </w:tr>
      <w:tr>
        <w:tc>
          <w:tcPr>
            <w:tcW w:type="dxa" w:w="4680"/>
            <w:shd w:fill="FFFFFF"/>
            <w:tcMar>
              <w:top w:w="80" w:type="dxa"/>
              <w:bottom w:w="80" w:type="dxa"/>
              <w:left w:w="100" w:type="dxa"/>
              <w:right w:w="100" w:type="dxa"/>
            </w:tcMar>
          </w:tcPr>
          <w:p>
            <w:r>
              <w:rPr>
                <w:b/>
                <w:color w:val="0F2240"/>
              </w:rPr>
              <w:t>6. Ventas Anuales (Estimadas)</w:t>
            </w:r>
          </w:p>
        </w:tc>
        <w:tc>
          <w:tcPr>
            <w:tcW w:type="dxa" w:w="4680"/>
            <w:shd w:fill="FFFFFF"/>
            <w:tcMar>
              <w:top w:w="80" w:type="dxa"/>
              <w:bottom w:w="80" w:type="dxa"/>
              <w:left w:w="100" w:type="dxa"/>
              <w:right w:w="100" w:type="dxa"/>
            </w:tcMar>
          </w:tcPr>
          <w:p>
            <w:r>
              <w:t>Ingresos operacionales en Colombia superiores a $220.000 millones COP anuales.</w:t>
            </w:r>
          </w:p>
        </w:tc>
      </w:tr>
      <w:tr>
        <w:tc>
          <w:tcPr>
            <w:tcW w:type="dxa" w:w="4680"/>
            <w:shd w:fill="F0F4F8"/>
            <w:tcMar>
              <w:top w:w="80" w:type="dxa"/>
              <w:bottom w:w="80" w:type="dxa"/>
              <w:left w:w="100" w:type="dxa"/>
              <w:right w:w="100" w:type="dxa"/>
            </w:tcMar>
          </w:tcPr>
          <w:p>
            <w:r>
              <w:rPr>
                <w:b/>
                <w:color w:val="0F2240"/>
              </w:rPr>
              <w:t>7. Similitudes con StatCredit AI</w:t>
            </w:r>
          </w:p>
        </w:tc>
        <w:tc>
          <w:tcPr>
            <w:tcW w:type="dxa" w:w="4680"/>
            <w:shd w:fill="F0F4F8"/>
            <w:tcMar>
              <w:top w:w="80" w:type="dxa"/>
              <w:bottom w:w="80" w:type="dxa"/>
              <w:left w:w="100" w:type="dxa"/>
              <w:right w:w="100" w:type="dxa"/>
            </w:tcMar>
          </w:tcPr>
          <w:p>
            <w:r>
              <w:t>Suministra métricas cuantitativas para evaluar riesgo de crédito en decisiones de originación.</w:t>
            </w:r>
          </w:p>
        </w:tc>
      </w:tr>
      <w:tr>
        <w:tc>
          <w:tcPr>
            <w:tcW w:type="dxa" w:w="4680"/>
            <w:shd w:fill="FFFFFF"/>
            <w:tcMar>
              <w:top w:w="80" w:type="dxa"/>
              <w:bottom w:w="80" w:type="dxa"/>
              <w:left w:w="100" w:type="dxa"/>
              <w:right w:w="100" w:type="dxa"/>
            </w:tcMar>
          </w:tcPr>
          <w:p>
            <w:r>
              <w:rPr>
                <w:b/>
                <w:color w:val="0F2240"/>
              </w:rPr>
              <w:t>8. Diferenciadores Clave de StatCredit AI</w:t>
            </w:r>
          </w:p>
        </w:tc>
        <w:tc>
          <w:tcPr>
            <w:tcW w:type="dxa" w:w="4680"/>
            <w:shd w:fill="FFFFFF"/>
            <w:tcMar>
              <w:top w:w="80" w:type="dxa"/>
              <w:bottom w:w="80" w:type="dxa"/>
              <w:left w:w="100" w:type="dxa"/>
              <w:right w:w="100" w:type="dxa"/>
            </w:tcMar>
          </w:tcPr>
          <w:p>
            <w:r>
              <w:rPr>
                <w:b/>
                <w:color w:val="1E4678"/>
              </w:rPr>
              <w:t>DataCrédito requiere reporte previo de entidades formales (punto ciego con independientes no bancarizados). StatCredit AI procesa datos transaccionales alternativos en tiempo real e incorpora explicabilidad causal (XAI).</w:t>
            </w:r>
          </w:p>
        </w:tc>
      </w:tr>
    </w:tbl>
    <w:p>
      <w:pPr>
        <w:spacing w:after="120"/>
      </w:pPr>
    </w:p>
    <w:p>
      <w:pPr>
        <w:pStyle w:val="Heading2"/>
        <w:spacing w:before="280" w:after="120"/>
      </w:pPr>
      <w:r>
        <w:rPr>
          <w:b/>
          <w:color w:val="1E4678"/>
          <w:sz w:val="26"/>
        </w:rPr>
        <w:t>2. TRANSUNION COLOMBIA</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00" w:type="dxa"/>
              <w:right w:w="100" w:type="dxa"/>
            </w:tcMar>
          </w:tcPr>
          <w:p>
            <w:r>
              <w:rPr>
                <w:b/>
                <w:color w:val="0F2240"/>
              </w:rPr>
              <w:t>1. Nombre de la Empresa</w:t>
            </w:r>
          </w:p>
        </w:tc>
        <w:tc>
          <w:tcPr>
            <w:tcW w:type="dxa" w:w="4680"/>
            <w:shd w:fill="F0F4F8"/>
            <w:tcMar>
              <w:top w:w="80" w:type="dxa"/>
              <w:bottom w:w="80" w:type="dxa"/>
              <w:left w:w="100" w:type="dxa"/>
              <w:right w:w="100" w:type="dxa"/>
            </w:tcMar>
          </w:tcPr>
          <w:p>
            <w:r>
              <w:t>TransUnion Colombia S.A.</w:t>
            </w:r>
          </w:p>
        </w:tc>
      </w:tr>
      <w:tr>
        <w:tc>
          <w:tcPr>
            <w:tcW w:type="dxa" w:w="4680"/>
            <w:shd w:fill="FFFFFF"/>
            <w:tcMar>
              <w:top w:w="80" w:type="dxa"/>
              <w:bottom w:w="80" w:type="dxa"/>
              <w:left w:w="100" w:type="dxa"/>
              <w:right w:w="100" w:type="dxa"/>
            </w:tcMar>
          </w:tcPr>
          <w:p>
            <w:r>
              <w:rPr>
                <w:b/>
                <w:color w:val="0F2240"/>
              </w:rPr>
              <w:t>2. Actividad Comercial</w:t>
            </w:r>
          </w:p>
        </w:tc>
        <w:tc>
          <w:tcPr>
            <w:tcW w:type="dxa" w:w="4680"/>
            <w:shd w:fill="FFFFFF"/>
            <w:tcMar>
              <w:top w:w="80" w:type="dxa"/>
              <w:bottom w:w="80" w:type="dxa"/>
              <w:left w:w="100" w:type="dxa"/>
              <w:right w:w="100" w:type="dxa"/>
            </w:tcMar>
          </w:tcPr>
          <w:p>
            <w:r>
              <w:t>Central de información crediticia, gestión de riesgo y prevención de fraude.</w:t>
            </w:r>
          </w:p>
        </w:tc>
      </w:tr>
      <w:tr>
        <w:tc>
          <w:tcPr>
            <w:tcW w:type="dxa" w:w="4680"/>
            <w:shd w:fill="F0F4F8"/>
            <w:tcMar>
              <w:top w:w="80" w:type="dxa"/>
              <w:bottom w:w="80" w:type="dxa"/>
              <w:left w:w="100" w:type="dxa"/>
              <w:right w:w="100" w:type="dxa"/>
            </w:tcMar>
          </w:tcPr>
          <w:p>
            <w:r>
              <w:rPr>
                <w:b/>
                <w:color w:val="0F2240"/>
              </w:rPr>
              <w:t>3. Problema que Resuelven</w:t>
            </w:r>
          </w:p>
        </w:tc>
        <w:tc>
          <w:tcPr>
            <w:tcW w:type="dxa" w:w="4680"/>
            <w:shd w:fill="F0F4F8"/>
            <w:tcMar>
              <w:top w:w="80" w:type="dxa"/>
              <w:bottom w:w="80" w:type="dxa"/>
              <w:left w:w="100" w:type="dxa"/>
              <w:right w:w="100" w:type="dxa"/>
            </w:tcMar>
          </w:tcPr>
          <w:p>
            <w:r>
              <w:t>Ofrece visibilidad sobre el endeudamiento consolidado y comportamiento de pago formal.</w:t>
            </w:r>
          </w:p>
        </w:tc>
      </w:tr>
      <w:tr>
        <w:tc>
          <w:tcPr>
            <w:tcW w:type="dxa" w:w="4680"/>
            <w:shd w:fill="FFFFFF"/>
            <w:tcMar>
              <w:top w:w="80" w:type="dxa"/>
              <w:bottom w:w="80" w:type="dxa"/>
              <w:left w:w="100" w:type="dxa"/>
              <w:right w:w="100" w:type="dxa"/>
            </w:tcMar>
          </w:tcPr>
          <w:p>
            <w:r>
              <w:rPr>
                <w:b/>
                <w:color w:val="0F2240"/>
              </w:rPr>
              <w:t>4. Principal Producto</w:t>
            </w:r>
          </w:p>
        </w:tc>
        <w:tc>
          <w:tcPr>
            <w:tcW w:type="dxa" w:w="4680"/>
            <w:shd w:fill="FFFFFF"/>
            <w:tcMar>
              <w:top w:w="80" w:type="dxa"/>
              <w:bottom w:w="80" w:type="dxa"/>
              <w:left w:w="100" w:type="dxa"/>
              <w:right w:w="100" w:type="dxa"/>
            </w:tcMar>
          </w:tcPr>
          <w:p>
            <w:r>
              <w:t>Score Crediticio TransUnion y soluciones de Verificación de Identidad Digital.</w:t>
            </w:r>
          </w:p>
        </w:tc>
      </w:tr>
      <w:tr>
        <w:tc>
          <w:tcPr>
            <w:tcW w:type="dxa" w:w="4680"/>
            <w:shd w:fill="F0F4F8"/>
            <w:tcMar>
              <w:top w:w="80" w:type="dxa"/>
              <w:bottom w:w="80" w:type="dxa"/>
              <w:left w:w="100" w:type="dxa"/>
              <w:right w:w="100" w:type="dxa"/>
            </w:tcMar>
          </w:tcPr>
          <w:p>
            <w:r>
              <w:rPr>
                <w:b/>
                <w:color w:val="0F2240"/>
              </w:rPr>
              <w:t>5. Ciudades/Países de Operación</w:t>
            </w:r>
          </w:p>
        </w:tc>
        <w:tc>
          <w:tcPr>
            <w:tcW w:type="dxa" w:w="4680"/>
            <w:shd w:fill="F0F4F8"/>
            <w:tcMar>
              <w:top w:w="80" w:type="dxa"/>
              <w:bottom w:w="80" w:type="dxa"/>
              <w:left w:w="100" w:type="dxa"/>
              <w:right w:w="100" w:type="dxa"/>
            </w:tcMar>
          </w:tcPr>
          <w:p>
            <w:r>
              <w:t>Nacional en Colombia; presencia multinacional en más de 30 países.</w:t>
            </w:r>
          </w:p>
        </w:tc>
      </w:tr>
      <w:tr>
        <w:tc>
          <w:tcPr>
            <w:tcW w:type="dxa" w:w="4680"/>
            <w:shd w:fill="FFFFFF"/>
            <w:tcMar>
              <w:top w:w="80" w:type="dxa"/>
              <w:bottom w:w="80" w:type="dxa"/>
              <w:left w:w="100" w:type="dxa"/>
              <w:right w:w="100" w:type="dxa"/>
            </w:tcMar>
          </w:tcPr>
          <w:p>
            <w:r>
              <w:rPr>
                <w:b/>
                <w:color w:val="0F2240"/>
              </w:rPr>
              <w:t>6. Ventas Anuales (Estimadas)</w:t>
            </w:r>
          </w:p>
        </w:tc>
        <w:tc>
          <w:tcPr>
            <w:tcW w:type="dxa" w:w="4680"/>
            <w:shd w:fill="FFFFFF"/>
            <w:tcMar>
              <w:top w:w="80" w:type="dxa"/>
              <w:bottom w:w="80" w:type="dxa"/>
              <w:left w:w="100" w:type="dxa"/>
              <w:right w:w="100" w:type="dxa"/>
            </w:tcMar>
          </w:tcPr>
          <w:p>
            <w:r>
              <w:t>Ingresos operacionales en Colombia superiores a $130.000 millones COP anuales.</w:t>
            </w:r>
          </w:p>
        </w:tc>
      </w:tr>
      <w:tr>
        <w:tc>
          <w:tcPr>
            <w:tcW w:type="dxa" w:w="4680"/>
            <w:shd w:fill="F0F4F8"/>
            <w:tcMar>
              <w:top w:w="80" w:type="dxa"/>
              <w:bottom w:w="80" w:type="dxa"/>
              <w:left w:w="100" w:type="dxa"/>
              <w:right w:w="100" w:type="dxa"/>
            </w:tcMar>
          </w:tcPr>
          <w:p>
            <w:r>
              <w:rPr>
                <w:b/>
                <w:color w:val="0F2240"/>
              </w:rPr>
              <w:t>7. Similitudes con StatCredit AI</w:t>
            </w:r>
          </w:p>
        </w:tc>
        <w:tc>
          <w:tcPr>
            <w:tcW w:type="dxa" w:w="4680"/>
            <w:shd w:fill="F0F4F8"/>
            <w:tcMar>
              <w:top w:w="80" w:type="dxa"/>
              <w:bottom w:w="80" w:type="dxa"/>
              <w:left w:w="100" w:type="dxa"/>
              <w:right w:w="100" w:type="dxa"/>
            </w:tcMar>
          </w:tcPr>
          <w:p>
            <w:r>
              <w:t>Desarrolla modelos predictivos para la gestión del riesgo crediticio en originación.</w:t>
            </w:r>
          </w:p>
        </w:tc>
      </w:tr>
      <w:tr>
        <w:tc>
          <w:tcPr>
            <w:tcW w:type="dxa" w:w="4680"/>
            <w:shd w:fill="FFFFFF"/>
            <w:tcMar>
              <w:top w:w="80" w:type="dxa"/>
              <w:bottom w:w="80" w:type="dxa"/>
              <w:left w:w="100" w:type="dxa"/>
              <w:right w:w="100" w:type="dxa"/>
            </w:tcMar>
          </w:tcPr>
          <w:p>
            <w:r>
              <w:rPr>
                <w:b/>
                <w:color w:val="0F2240"/>
              </w:rPr>
              <w:t>8. Diferenciadores Clave de StatCredit AI</w:t>
            </w:r>
          </w:p>
        </w:tc>
        <w:tc>
          <w:tcPr>
            <w:tcW w:type="dxa" w:w="4680"/>
            <w:shd w:fill="FFFFFF"/>
            <w:tcMar>
              <w:top w:w="80" w:type="dxa"/>
              <w:bottom w:w="80" w:type="dxa"/>
              <w:left w:w="100" w:type="dxa"/>
              <w:right w:w="100" w:type="dxa"/>
            </w:tcMar>
          </w:tcPr>
          <w:p>
            <w:r>
              <w:rPr>
                <w:b/>
                <w:color w:val="1E4678"/>
              </w:rPr>
              <w:t>TransUnion está optimizado para clientes bancarizados formales con datos consolidados. StatCredit AI es una API SaaS B2B con inferencia causal y explicabilidad local (SHAP) optimizada para independientes.</w:t>
            </w:r>
          </w:p>
        </w:tc>
      </w:tr>
    </w:tbl>
    <w:p>
      <w:pPr>
        <w:spacing w:after="120"/>
      </w:pPr>
    </w:p>
    <w:p>
      <w:pPr>
        <w:pStyle w:val="Heading2"/>
        <w:spacing w:before="280" w:after="120"/>
      </w:pPr>
      <w:r>
        <w:rPr>
          <w:b/>
          <w:color w:val="1E4678"/>
          <w:sz w:val="26"/>
        </w:rPr>
        <w:t>3. BELVO COLOMBIA</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00" w:type="dxa"/>
              <w:right w:w="100" w:type="dxa"/>
            </w:tcMar>
          </w:tcPr>
          <w:p>
            <w:r>
              <w:rPr>
                <w:b/>
                <w:color w:val="0F2240"/>
              </w:rPr>
              <w:t>1. Nombre de la Empresa</w:t>
            </w:r>
          </w:p>
        </w:tc>
        <w:tc>
          <w:tcPr>
            <w:tcW w:type="dxa" w:w="4680"/>
            <w:shd w:fill="F0F4F8"/>
            <w:tcMar>
              <w:top w:w="80" w:type="dxa"/>
              <w:bottom w:w="80" w:type="dxa"/>
              <w:left w:w="100" w:type="dxa"/>
              <w:right w:w="100" w:type="dxa"/>
            </w:tcMar>
          </w:tcPr>
          <w:p>
            <w:r>
              <w:t>Belvo Latin America S.L. / Belvo Colombia.</w:t>
            </w:r>
          </w:p>
        </w:tc>
      </w:tr>
      <w:tr>
        <w:tc>
          <w:tcPr>
            <w:tcW w:type="dxa" w:w="4680"/>
            <w:shd w:fill="FFFFFF"/>
            <w:tcMar>
              <w:top w:w="80" w:type="dxa"/>
              <w:bottom w:w="80" w:type="dxa"/>
              <w:left w:w="100" w:type="dxa"/>
              <w:right w:w="100" w:type="dxa"/>
            </w:tcMar>
          </w:tcPr>
          <w:p>
            <w:r>
              <w:rPr>
                <w:b/>
                <w:color w:val="0F2240"/>
              </w:rPr>
              <w:t>2. Actividad Comercial</w:t>
            </w:r>
          </w:p>
        </w:tc>
        <w:tc>
          <w:tcPr>
            <w:tcW w:type="dxa" w:w="4680"/>
            <w:shd w:fill="FFFFFF"/>
            <w:tcMar>
              <w:top w:w="80" w:type="dxa"/>
              <w:bottom w:w="80" w:type="dxa"/>
              <w:left w:w="100" w:type="dxa"/>
              <w:right w:w="100" w:type="dxa"/>
            </w:tcMar>
          </w:tcPr>
          <w:p>
            <w:r>
              <w:t>Proveedor de infraestructura de Open Finance (APIs de agregación bancaria y fiscal).</w:t>
            </w:r>
          </w:p>
        </w:tc>
      </w:tr>
      <w:tr>
        <w:tc>
          <w:tcPr>
            <w:tcW w:type="dxa" w:w="4680"/>
            <w:shd w:fill="F0F4F8"/>
            <w:tcMar>
              <w:top w:w="80" w:type="dxa"/>
              <w:bottom w:w="80" w:type="dxa"/>
              <w:left w:w="100" w:type="dxa"/>
              <w:right w:w="100" w:type="dxa"/>
            </w:tcMar>
          </w:tcPr>
          <w:p>
            <w:r>
              <w:rPr>
                <w:b/>
                <w:color w:val="0F2240"/>
              </w:rPr>
              <w:t>3. Problema que Resuelven</w:t>
            </w:r>
          </w:p>
        </w:tc>
        <w:tc>
          <w:tcPr>
            <w:tcW w:type="dxa" w:w="4680"/>
            <w:shd w:fill="F0F4F8"/>
            <w:tcMar>
              <w:top w:w="80" w:type="dxa"/>
              <w:bottom w:w="80" w:type="dxa"/>
              <w:left w:w="100" w:type="dxa"/>
              <w:right w:w="100" w:type="dxa"/>
            </w:tcMar>
          </w:tcPr>
          <w:p>
            <w:r>
              <w:t>Facilita la extracción técnica de datos desde cuentas bancarias, tributarias (DIAN) y billeteras.</w:t>
            </w:r>
          </w:p>
        </w:tc>
      </w:tr>
      <w:tr>
        <w:tc>
          <w:tcPr>
            <w:tcW w:type="dxa" w:w="4680"/>
            <w:shd w:fill="FFFFFF"/>
            <w:tcMar>
              <w:top w:w="80" w:type="dxa"/>
              <w:bottom w:w="80" w:type="dxa"/>
              <w:left w:w="100" w:type="dxa"/>
              <w:right w:w="100" w:type="dxa"/>
            </w:tcMar>
          </w:tcPr>
          <w:p>
            <w:r>
              <w:rPr>
                <w:b/>
                <w:color w:val="0F2240"/>
              </w:rPr>
              <w:t>4. Principal Producto</w:t>
            </w:r>
          </w:p>
        </w:tc>
        <w:tc>
          <w:tcPr>
            <w:tcW w:type="dxa" w:w="4680"/>
            <w:shd w:fill="FFFFFF"/>
            <w:tcMar>
              <w:top w:w="80" w:type="dxa"/>
              <w:bottom w:w="80" w:type="dxa"/>
              <w:left w:w="100" w:type="dxa"/>
              <w:right w:w="100" w:type="dxa"/>
            </w:tcMar>
          </w:tcPr>
          <w:p>
            <w:r>
              <w:t>Belvo Data API (agregación) y Belvo Enrichment (categorización de transacciones).</w:t>
            </w:r>
          </w:p>
        </w:tc>
      </w:tr>
      <w:tr>
        <w:tc>
          <w:tcPr>
            <w:tcW w:type="dxa" w:w="4680"/>
            <w:shd w:fill="F0F4F8"/>
            <w:tcMar>
              <w:top w:w="80" w:type="dxa"/>
              <w:bottom w:w="80" w:type="dxa"/>
              <w:left w:w="100" w:type="dxa"/>
              <w:right w:w="100" w:type="dxa"/>
            </w:tcMar>
          </w:tcPr>
          <w:p>
            <w:r>
              <w:rPr>
                <w:b/>
                <w:color w:val="0F2240"/>
              </w:rPr>
              <w:t>5. Ciudades/Países de Operación</w:t>
            </w:r>
          </w:p>
        </w:tc>
        <w:tc>
          <w:tcPr>
            <w:tcW w:type="dxa" w:w="4680"/>
            <w:shd w:fill="F0F4F8"/>
            <w:tcMar>
              <w:top w:w="80" w:type="dxa"/>
              <w:bottom w:w="80" w:type="dxa"/>
              <w:left w:w="100" w:type="dxa"/>
              <w:right w:w="100" w:type="dxa"/>
            </w:tcMar>
          </w:tcPr>
          <w:p>
            <w:r>
              <w:t>Colombia, México y Brasil.</w:t>
            </w:r>
          </w:p>
        </w:tc>
      </w:tr>
      <w:tr>
        <w:tc>
          <w:tcPr>
            <w:tcW w:type="dxa" w:w="4680"/>
            <w:shd w:fill="FFFFFF"/>
            <w:tcMar>
              <w:top w:w="80" w:type="dxa"/>
              <w:bottom w:w="80" w:type="dxa"/>
              <w:left w:w="100" w:type="dxa"/>
              <w:right w:w="100" w:type="dxa"/>
            </w:tcMar>
          </w:tcPr>
          <w:p>
            <w:r>
              <w:rPr>
                <w:b/>
                <w:color w:val="0F2240"/>
              </w:rPr>
              <w:t>6. Ventas Anuales (Estimadas)</w:t>
            </w:r>
          </w:p>
        </w:tc>
        <w:tc>
          <w:tcPr>
            <w:tcW w:type="dxa" w:w="4680"/>
            <w:shd w:fill="FFFFFF"/>
            <w:tcMar>
              <w:top w:w="80" w:type="dxa"/>
              <w:bottom w:w="80" w:type="dxa"/>
              <w:left w:w="100" w:type="dxa"/>
              <w:right w:w="100" w:type="dxa"/>
            </w:tcMar>
          </w:tcPr>
          <w:p>
            <w:r>
              <w:t>Más de $8 millones USD en ingresos recurrentes anuales (ARR) a nivel latinoamericano.</w:t>
            </w:r>
          </w:p>
        </w:tc>
      </w:tr>
      <w:tr>
        <w:tc>
          <w:tcPr>
            <w:tcW w:type="dxa" w:w="4680"/>
            <w:shd w:fill="F0F4F8"/>
            <w:tcMar>
              <w:top w:w="80" w:type="dxa"/>
              <w:bottom w:w="80" w:type="dxa"/>
              <w:left w:w="100" w:type="dxa"/>
              <w:right w:w="100" w:type="dxa"/>
            </w:tcMar>
          </w:tcPr>
          <w:p>
            <w:r>
              <w:rPr>
                <w:b/>
                <w:color w:val="0F2240"/>
              </w:rPr>
              <w:t>7. Similitudes con StatCredit AI</w:t>
            </w:r>
          </w:p>
        </w:tc>
        <w:tc>
          <w:tcPr>
            <w:tcW w:type="dxa" w:w="4680"/>
            <w:shd w:fill="F0F4F8"/>
            <w:tcMar>
              <w:top w:w="80" w:type="dxa"/>
              <w:bottom w:w="80" w:type="dxa"/>
              <w:left w:w="100" w:type="dxa"/>
              <w:right w:w="100" w:type="dxa"/>
            </w:tcMar>
          </w:tcPr>
          <w:p>
            <w:r>
              <w:t>Conecta fuentes alternativas de datos financieros digitales a través de arquitecturas API en tiempo real.</w:t>
            </w:r>
          </w:p>
        </w:tc>
      </w:tr>
      <w:tr>
        <w:tc>
          <w:tcPr>
            <w:tcW w:type="dxa" w:w="4680"/>
            <w:shd w:fill="FFFFFF"/>
            <w:tcMar>
              <w:top w:w="80" w:type="dxa"/>
              <w:bottom w:w="80" w:type="dxa"/>
              <w:left w:w="100" w:type="dxa"/>
              <w:right w:w="100" w:type="dxa"/>
            </w:tcMar>
          </w:tcPr>
          <w:p>
            <w:r>
              <w:rPr>
                <w:b/>
                <w:color w:val="0F2240"/>
              </w:rPr>
              <w:t>8. Diferenciadores Clave de StatCredit AI</w:t>
            </w:r>
          </w:p>
        </w:tc>
        <w:tc>
          <w:tcPr>
            <w:tcW w:type="dxa" w:w="4680"/>
            <w:shd w:fill="FFFFFF"/>
            <w:tcMar>
              <w:top w:w="80" w:type="dxa"/>
              <w:bottom w:w="80" w:type="dxa"/>
              <w:left w:w="100" w:type="dxa"/>
              <w:right w:w="100" w:type="dxa"/>
            </w:tcMar>
          </w:tcPr>
          <w:p>
            <w:r>
              <w:rPr>
                <w:b/>
                <w:color w:val="1E4678"/>
              </w:rPr>
              <w:t>Belvo es una tubería de datos (plumbing/aggregation): extrae y categoriza datos, pero no entrega un score de crédito probabilístico ni asume la lógica de riesgo actuarial. StatCredit AI es el cerebro decisorio que convierte datos crudos en un score predictivo auditable.</w:t>
            </w:r>
          </w:p>
        </w:tc>
      </w:tr>
    </w:tbl>
    <w:p>
      <w:pPr>
        <w:spacing w:after="120"/>
      </w:pPr>
    </w:p>
    <w:p>
      <w:pPr>
        <w:pStyle w:val="Heading2"/>
        <w:spacing w:before="280" w:after="120"/>
      </w:pPr>
      <w:r>
        <w:rPr>
          <w:b/>
          <w:color w:val="1E4678"/>
          <w:sz w:val="26"/>
        </w:rPr>
        <w:t>4. SEMPLI</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00" w:type="dxa"/>
              <w:right w:w="100" w:type="dxa"/>
            </w:tcMar>
          </w:tcPr>
          <w:p>
            <w:r>
              <w:rPr>
                <w:b/>
                <w:color w:val="0F2240"/>
              </w:rPr>
              <w:t>1. Nombre de la Empresa</w:t>
            </w:r>
          </w:p>
        </w:tc>
        <w:tc>
          <w:tcPr>
            <w:tcW w:type="dxa" w:w="4680"/>
            <w:shd w:fill="F0F4F8"/>
            <w:tcMar>
              <w:top w:w="80" w:type="dxa"/>
              <w:bottom w:w="80" w:type="dxa"/>
              <w:left w:w="100" w:type="dxa"/>
              <w:right w:w="100" w:type="dxa"/>
            </w:tcMar>
          </w:tcPr>
          <w:p>
            <w:r>
              <w:t>Sempli (Tecnología y Finanzas S.A.S.).</w:t>
            </w:r>
          </w:p>
        </w:tc>
      </w:tr>
      <w:tr>
        <w:tc>
          <w:tcPr>
            <w:tcW w:type="dxa" w:w="4680"/>
            <w:shd w:fill="FFFFFF"/>
            <w:tcMar>
              <w:top w:w="80" w:type="dxa"/>
              <w:bottom w:w="80" w:type="dxa"/>
              <w:left w:w="100" w:type="dxa"/>
              <w:right w:w="100" w:type="dxa"/>
            </w:tcMar>
          </w:tcPr>
          <w:p>
            <w:r>
              <w:rPr>
                <w:b/>
                <w:color w:val="0F2240"/>
              </w:rPr>
              <w:t>2. Actividad Comercial</w:t>
            </w:r>
          </w:p>
        </w:tc>
        <w:tc>
          <w:tcPr>
            <w:tcW w:type="dxa" w:w="4680"/>
            <w:shd w:fill="FFFFFF"/>
            <w:tcMar>
              <w:top w:w="80" w:type="dxa"/>
              <w:bottom w:w="80" w:type="dxa"/>
              <w:left w:w="100" w:type="dxa"/>
              <w:right w:w="100" w:type="dxa"/>
            </w:tcMar>
          </w:tcPr>
          <w:p>
            <w:r>
              <w:t>Neobanco y Fintech de crédito digital directo para micro y pequeñas empresas (MiPymes).</w:t>
            </w:r>
          </w:p>
        </w:tc>
      </w:tr>
      <w:tr>
        <w:tc>
          <w:tcPr>
            <w:tcW w:type="dxa" w:w="4680"/>
            <w:shd w:fill="F0F4F8"/>
            <w:tcMar>
              <w:top w:w="80" w:type="dxa"/>
              <w:bottom w:w="80" w:type="dxa"/>
              <w:left w:w="100" w:type="dxa"/>
              <w:right w:w="100" w:type="dxa"/>
            </w:tcMar>
          </w:tcPr>
          <w:p>
            <w:r>
              <w:rPr>
                <w:b/>
                <w:color w:val="0F2240"/>
              </w:rPr>
              <w:t>3. Problema que Resuelven</w:t>
            </w:r>
          </w:p>
        </w:tc>
        <w:tc>
          <w:tcPr>
            <w:tcW w:type="dxa" w:w="4680"/>
            <w:shd w:fill="F0F4F8"/>
            <w:tcMar>
              <w:top w:w="80" w:type="dxa"/>
              <w:bottom w:w="80" w:type="dxa"/>
              <w:left w:w="100" w:type="dxa"/>
              <w:right w:w="100" w:type="dxa"/>
            </w:tcMar>
          </w:tcPr>
          <w:p>
            <w:r>
              <w:t>Otorga capital de trabajo y financiamiento a empresas sin acceso ágil en la banca tradicional.</w:t>
            </w:r>
          </w:p>
        </w:tc>
      </w:tr>
      <w:tr>
        <w:tc>
          <w:tcPr>
            <w:tcW w:type="dxa" w:w="4680"/>
            <w:shd w:fill="FFFFFF"/>
            <w:tcMar>
              <w:top w:w="80" w:type="dxa"/>
              <w:bottom w:w="80" w:type="dxa"/>
              <w:left w:w="100" w:type="dxa"/>
              <w:right w:w="100" w:type="dxa"/>
            </w:tcMar>
          </w:tcPr>
          <w:p>
            <w:r>
              <w:rPr>
                <w:b/>
                <w:color w:val="0F2240"/>
              </w:rPr>
              <w:t>4. Principal Producto</w:t>
            </w:r>
          </w:p>
        </w:tc>
        <w:tc>
          <w:tcPr>
            <w:tcW w:type="dxa" w:w="4680"/>
            <w:shd w:fill="FFFFFF"/>
            <w:tcMar>
              <w:top w:w="80" w:type="dxa"/>
              <w:bottom w:w="80" w:type="dxa"/>
              <w:left w:w="100" w:type="dxa"/>
              <w:right w:w="100" w:type="dxa"/>
            </w:tcMar>
          </w:tcPr>
          <w:p>
            <w:r>
              <w:t>Crédito de Crecimiento Sempli (préstamos digitales para capital de trabajo hasta $300M COP).</w:t>
            </w:r>
          </w:p>
        </w:tc>
      </w:tr>
      <w:tr>
        <w:tc>
          <w:tcPr>
            <w:tcW w:type="dxa" w:w="4680"/>
            <w:shd w:fill="F0F4F8"/>
            <w:tcMar>
              <w:top w:w="80" w:type="dxa"/>
              <w:bottom w:w="80" w:type="dxa"/>
              <w:left w:w="100" w:type="dxa"/>
              <w:right w:w="100" w:type="dxa"/>
            </w:tcMar>
          </w:tcPr>
          <w:p>
            <w:r>
              <w:rPr>
                <w:b/>
                <w:color w:val="0F2240"/>
              </w:rPr>
              <w:t>5. Ciudades/Países de Operación</w:t>
            </w:r>
          </w:p>
        </w:tc>
        <w:tc>
          <w:tcPr>
            <w:tcW w:type="dxa" w:w="4680"/>
            <w:shd w:fill="F0F4F8"/>
            <w:tcMar>
              <w:top w:w="80" w:type="dxa"/>
              <w:bottom w:w="80" w:type="dxa"/>
              <w:left w:w="100" w:type="dxa"/>
              <w:right w:w="100" w:type="dxa"/>
            </w:tcMar>
          </w:tcPr>
          <w:p>
            <w:r>
              <w:t>Principales ciudades de Colombia (Bogotá, Medellín, Cali, Barranquilla, Bucaramanga).</w:t>
            </w:r>
          </w:p>
        </w:tc>
      </w:tr>
      <w:tr>
        <w:tc>
          <w:tcPr>
            <w:tcW w:type="dxa" w:w="4680"/>
            <w:shd w:fill="FFFFFF"/>
            <w:tcMar>
              <w:top w:w="80" w:type="dxa"/>
              <w:bottom w:w="80" w:type="dxa"/>
              <w:left w:w="100" w:type="dxa"/>
              <w:right w:w="100" w:type="dxa"/>
            </w:tcMar>
          </w:tcPr>
          <w:p>
            <w:r>
              <w:rPr>
                <w:b/>
                <w:color w:val="0F2240"/>
              </w:rPr>
              <w:t>6. Ventas Anuales (Estimadas)</w:t>
            </w:r>
          </w:p>
        </w:tc>
        <w:tc>
          <w:tcPr>
            <w:tcW w:type="dxa" w:w="4680"/>
            <w:shd w:fill="FFFFFF"/>
            <w:tcMar>
              <w:top w:w="80" w:type="dxa"/>
              <w:bottom w:w="80" w:type="dxa"/>
              <w:left w:w="100" w:type="dxa"/>
              <w:right w:w="100" w:type="dxa"/>
            </w:tcMar>
          </w:tcPr>
          <w:p>
            <w:r>
              <w:t>Ingresos financieros y comisiones estimadas en más de $35.000 millones COP anuales.</w:t>
            </w:r>
          </w:p>
        </w:tc>
      </w:tr>
      <w:tr>
        <w:tc>
          <w:tcPr>
            <w:tcW w:type="dxa" w:w="4680"/>
            <w:shd w:fill="F0F4F8"/>
            <w:tcMar>
              <w:top w:w="80" w:type="dxa"/>
              <w:bottom w:w="80" w:type="dxa"/>
              <w:left w:w="100" w:type="dxa"/>
              <w:right w:w="100" w:type="dxa"/>
            </w:tcMar>
          </w:tcPr>
          <w:p>
            <w:r>
              <w:rPr>
                <w:b/>
                <w:color w:val="0F2240"/>
              </w:rPr>
              <w:t>7. Similitudes con StatCredit AI</w:t>
            </w:r>
          </w:p>
        </w:tc>
        <w:tc>
          <w:tcPr>
            <w:tcW w:type="dxa" w:w="4680"/>
            <w:shd w:fill="F0F4F8"/>
            <w:tcMar>
              <w:top w:w="80" w:type="dxa"/>
              <w:bottom w:w="80" w:type="dxa"/>
              <w:left w:w="100" w:type="dxa"/>
              <w:right w:w="100" w:type="dxa"/>
            </w:tcMar>
          </w:tcPr>
          <w:p>
            <w:r>
              <w:t>Evalúa información no convencional para otorgar crédito a unidades productivas desatendidas.</w:t>
            </w:r>
          </w:p>
        </w:tc>
      </w:tr>
      <w:tr>
        <w:tc>
          <w:tcPr>
            <w:tcW w:type="dxa" w:w="4680"/>
            <w:shd w:fill="FFFFFF"/>
            <w:tcMar>
              <w:top w:w="80" w:type="dxa"/>
              <w:bottom w:w="80" w:type="dxa"/>
              <w:left w:w="100" w:type="dxa"/>
              <w:right w:w="100" w:type="dxa"/>
            </w:tcMar>
          </w:tcPr>
          <w:p>
            <w:r>
              <w:rPr>
                <w:b/>
                <w:color w:val="0F2240"/>
              </w:rPr>
              <w:t>8. Diferenciadores Clave de StatCredit AI</w:t>
            </w:r>
          </w:p>
        </w:tc>
        <w:tc>
          <w:tcPr>
            <w:tcW w:type="dxa" w:w="4680"/>
            <w:shd w:fill="FFFFFF"/>
            <w:tcMar>
              <w:top w:w="80" w:type="dxa"/>
              <w:bottom w:w="80" w:type="dxa"/>
              <w:left w:w="100" w:type="dxa"/>
              <w:right w:w="100" w:type="dxa"/>
            </w:tcMar>
          </w:tcPr>
          <w:p>
            <w:r>
              <w:rPr>
                <w:b/>
                <w:color w:val="1E4678"/>
              </w:rPr>
              <w:t>Sempli es un originador directo (lender) que asume riesgo de balance y morosidad de cartera. StatCredit AI es un proveedor de tecnología B2B (SaaS/API) que no presta dinero ni asume riesgo de balance, con márgenes operacionales superiores al 75%.</w:t>
            </w:r>
          </w:p>
        </w:tc>
      </w:tr>
    </w:tbl>
    <w:p>
      <w:pPr>
        <w:spacing w:after="120"/>
      </w:pPr>
    </w:p>
    <w:p>
      <w:pPr>
        <w:pStyle w:val="Heading2"/>
        <w:spacing w:before="280" w:after="120"/>
      </w:pPr>
      <w:r>
        <w:rPr>
          <w:b/>
          <w:color w:val="1E4678"/>
          <w:sz w:val="26"/>
        </w:rPr>
        <w:t>5. ADDI</w:t>
      </w: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00" w:type="dxa"/>
              <w:right w:w="100" w:type="dxa"/>
            </w:tcMar>
          </w:tcPr>
          <w:p>
            <w:r>
              <w:rPr>
                <w:b/>
                <w:color w:val="0F2240"/>
              </w:rPr>
              <w:t>1. Nombre de la Empresa</w:t>
            </w:r>
          </w:p>
        </w:tc>
        <w:tc>
          <w:tcPr>
            <w:tcW w:type="dxa" w:w="4680"/>
            <w:shd w:fill="F0F4F8"/>
            <w:tcMar>
              <w:top w:w="80" w:type="dxa"/>
              <w:bottom w:w="80" w:type="dxa"/>
              <w:left w:w="100" w:type="dxa"/>
              <w:right w:w="100" w:type="dxa"/>
            </w:tcMar>
          </w:tcPr>
          <w:p>
            <w:r>
              <w:t>Addi (Addi Financial Services Colombia S.A.S.).</w:t>
            </w:r>
          </w:p>
        </w:tc>
      </w:tr>
      <w:tr>
        <w:tc>
          <w:tcPr>
            <w:tcW w:type="dxa" w:w="4680"/>
            <w:shd w:fill="FFFFFF"/>
            <w:tcMar>
              <w:top w:w="80" w:type="dxa"/>
              <w:bottom w:w="80" w:type="dxa"/>
              <w:left w:w="100" w:type="dxa"/>
              <w:right w:w="100" w:type="dxa"/>
            </w:tcMar>
          </w:tcPr>
          <w:p>
            <w:r>
              <w:rPr>
                <w:b/>
                <w:color w:val="0F2240"/>
              </w:rPr>
              <w:t>2. Actividad Comercial</w:t>
            </w:r>
          </w:p>
        </w:tc>
        <w:tc>
          <w:tcPr>
            <w:tcW w:type="dxa" w:w="4680"/>
            <w:shd w:fill="FFFFFF"/>
            <w:tcMar>
              <w:top w:w="80" w:type="dxa"/>
              <w:bottom w:w="80" w:type="dxa"/>
              <w:left w:w="100" w:type="dxa"/>
              <w:right w:w="100" w:type="dxa"/>
            </w:tcMar>
          </w:tcPr>
          <w:p>
            <w:r>
              <w:t>Fintech de servicios financieros, crédito digital al consumo y Buy Now Pay Later (BNPL).</w:t>
            </w:r>
          </w:p>
        </w:tc>
      </w:tr>
      <w:tr>
        <w:tc>
          <w:tcPr>
            <w:tcW w:type="dxa" w:w="4680"/>
            <w:shd w:fill="F0F4F8"/>
            <w:tcMar>
              <w:top w:w="80" w:type="dxa"/>
              <w:bottom w:w="80" w:type="dxa"/>
              <w:left w:w="100" w:type="dxa"/>
              <w:right w:w="100" w:type="dxa"/>
            </w:tcMar>
          </w:tcPr>
          <w:p>
            <w:r>
              <w:rPr>
                <w:b/>
                <w:color w:val="0F2240"/>
              </w:rPr>
              <w:t>3. Problema que Resuelven</w:t>
            </w:r>
          </w:p>
        </w:tc>
        <w:tc>
          <w:tcPr>
            <w:tcW w:type="dxa" w:w="4680"/>
            <w:shd w:fill="F0F4F8"/>
            <w:tcMar>
              <w:top w:w="80" w:type="dxa"/>
              <w:bottom w:w="80" w:type="dxa"/>
              <w:left w:w="100" w:type="dxa"/>
              <w:right w:w="100" w:type="dxa"/>
            </w:tcMar>
          </w:tcPr>
          <w:p>
            <w:r>
              <w:t>Ofrece crédito instantáneo en el punto de pago físico o virtual para productos de consumo.</w:t>
            </w:r>
          </w:p>
        </w:tc>
      </w:tr>
      <w:tr>
        <w:tc>
          <w:tcPr>
            <w:tcW w:type="dxa" w:w="4680"/>
            <w:shd w:fill="FFFFFF"/>
            <w:tcMar>
              <w:top w:w="80" w:type="dxa"/>
              <w:bottom w:w="80" w:type="dxa"/>
              <w:left w:w="100" w:type="dxa"/>
              <w:right w:w="100" w:type="dxa"/>
            </w:tcMar>
          </w:tcPr>
          <w:p>
            <w:r>
              <w:rPr>
                <w:b/>
                <w:color w:val="0F2240"/>
              </w:rPr>
              <w:t>4. Principal Producto</w:t>
            </w:r>
          </w:p>
        </w:tc>
        <w:tc>
          <w:tcPr>
            <w:tcW w:type="dxa" w:w="4680"/>
            <w:shd w:fill="FFFFFF"/>
            <w:tcMar>
              <w:top w:w="80" w:type="dxa"/>
              <w:bottom w:w="80" w:type="dxa"/>
              <w:left w:w="100" w:type="dxa"/>
              <w:right w:w="100" w:type="dxa"/>
            </w:tcMar>
          </w:tcPr>
          <w:p>
            <w:r>
              <w:t>Crédito Addi / AddiPay (financiamiento en comercios aliados de 1 a 24 cuotas).</w:t>
            </w:r>
          </w:p>
        </w:tc>
      </w:tr>
      <w:tr>
        <w:tc>
          <w:tcPr>
            <w:tcW w:type="dxa" w:w="4680"/>
            <w:shd w:fill="F0F4F8"/>
            <w:tcMar>
              <w:top w:w="80" w:type="dxa"/>
              <w:bottom w:w="80" w:type="dxa"/>
              <w:left w:w="100" w:type="dxa"/>
              <w:right w:w="100" w:type="dxa"/>
            </w:tcMar>
          </w:tcPr>
          <w:p>
            <w:r>
              <w:rPr>
                <w:b/>
                <w:color w:val="0F2240"/>
              </w:rPr>
              <w:t>5. Ciudades/Países de Operación</w:t>
            </w:r>
          </w:p>
        </w:tc>
        <w:tc>
          <w:tcPr>
            <w:tcW w:type="dxa" w:w="4680"/>
            <w:shd w:fill="F0F4F8"/>
            <w:tcMar>
              <w:top w:w="80" w:type="dxa"/>
              <w:bottom w:w="80" w:type="dxa"/>
              <w:left w:w="100" w:type="dxa"/>
              <w:right w:w="100" w:type="dxa"/>
            </w:tcMar>
          </w:tcPr>
          <w:p>
            <w:r>
              <w:t>Colombia y Brasil.</w:t>
            </w:r>
          </w:p>
        </w:tc>
      </w:tr>
      <w:tr>
        <w:tc>
          <w:tcPr>
            <w:tcW w:type="dxa" w:w="4680"/>
            <w:shd w:fill="FFFFFF"/>
            <w:tcMar>
              <w:top w:w="80" w:type="dxa"/>
              <w:bottom w:w="80" w:type="dxa"/>
              <w:left w:w="100" w:type="dxa"/>
              <w:right w:w="100" w:type="dxa"/>
            </w:tcMar>
          </w:tcPr>
          <w:p>
            <w:r>
              <w:rPr>
                <w:b/>
                <w:color w:val="0F2240"/>
              </w:rPr>
              <w:t>6. Ventas Anuales (Estimadas)</w:t>
            </w:r>
          </w:p>
        </w:tc>
        <w:tc>
          <w:tcPr>
            <w:tcW w:type="dxa" w:w="4680"/>
            <w:shd w:fill="FFFFFF"/>
            <w:tcMar>
              <w:top w:w="80" w:type="dxa"/>
              <w:bottom w:w="80" w:type="dxa"/>
              <w:left w:w="100" w:type="dxa"/>
              <w:right w:w="100" w:type="dxa"/>
            </w:tcMar>
          </w:tcPr>
          <w:p>
            <w:r>
              <w:t>Originación anual superior a $1 billón COP; ingresos operacionales &gt;$150.000 millones COP.</w:t>
            </w:r>
          </w:p>
        </w:tc>
      </w:tr>
      <w:tr>
        <w:tc>
          <w:tcPr>
            <w:tcW w:type="dxa" w:w="4680"/>
            <w:shd w:fill="F0F4F8"/>
            <w:tcMar>
              <w:top w:w="80" w:type="dxa"/>
              <w:bottom w:w="80" w:type="dxa"/>
              <w:left w:w="100" w:type="dxa"/>
              <w:right w:w="100" w:type="dxa"/>
            </w:tcMar>
          </w:tcPr>
          <w:p>
            <w:r>
              <w:rPr>
                <w:b/>
                <w:color w:val="0F2240"/>
              </w:rPr>
              <w:t>7. Similitudes con StatCredit AI</w:t>
            </w:r>
          </w:p>
        </w:tc>
        <w:tc>
          <w:tcPr>
            <w:tcW w:type="dxa" w:w="4680"/>
            <w:shd w:fill="F0F4F8"/>
            <w:tcMar>
              <w:top w:w="80" w:type="dxa"/>
              <w:bottom w:w="80" w:type="dxa"/>
              <w:left w:w="100" w:type="dxa"/>
              <w:right w:w="100" w:type="dxa"/>
            </w:tcMar>
          </w:tcPr>
          <w:p>
            <w:r>
              <w:t>Utiliza algoritmos de decisión rápida con pocos datos para aprobar financiamiento en minutos.</w:t>
            </w:r>
          </w:p>
        </w:tc>
      </w:tr>
      <w:tr>
        <w:tc>
          <w:tcPr>
            <w:tcW w:type="dxa" w:w="4680"/>
            <w:shd w:fill="FFFFFF"/>
            <w:tcMar>
              <w:top w:w="80" w:type="dxa"/>
              <w:bottom w:w="80" w:type="dxa"/>
              <w:left w:w="100" w:type="dxa"/>
              <w:right w:w="100" w:type="dxa"/>
            </w:tcMar>
          </w:tcPr>
          <w:p>
            <w:r>
              <w:rPr>
                <w:b/>
                <w:color w:val="0F2240"/>
              </w:rPr>
              <w:t>8. Diferenciadores Clave de StatCredit AI</w:t>
            </w:r>
          </w:p>
        </w:tc>
        <w:tc>
          <w:tcPr>
            <w:tcW w:type="dxa" w:w="4680"/>
            <w:shd w:fill="FFFFFF"/>
            <w:tcMar>
              <w:top w:w="80" w:type="dxa"/>
              <w:bottom w:w="80" w:type="dxa"/>
              <w:left w:w="100" w:type="dxa"/>
              <w:right w:w="100" w:type="dxa"/>
            </w:tcMar>
          </w:tcPr>
          <w:p>
            <w:r>
              <w:rPr>
                <w:b/>
                <w:color w:val="1E4678"/>
              </w:rPr>
              <w:t>Addi se enfoca en crédito al consumo retail de montos bajos (compras personales en comercios). StatCredit AI se enfoca en crédito productivo y capital de trabajo, evaluando la capacidad continua de generación de ingresos del independiente.</w:t>
            </w:r>
          </w:p>
        </w:tc>
      </w:tr>
    </w:tbl>
    <w:p>
      <w:pPr>
        <w:spacing w:after="120"/>
      </w:pPr>
    </w:p>
    <w:p>
      <w:pPr>
        <w:pStyle w:val="Heading1"/>
        <w:spacing w:before="280" w:after="120"/>
      </w:pPr>
      <w:r>
        <w:rPr>
          <w:b/>
          <w:color w:val="0F2240"/>
          <w:sz w:val="32"/>
        </w:rPr>
        <w:t>5. RESPUESTA A LAS 3 PREGUNTAS CLAVE DE VALIDACIÓN</w:t>
      </w:r>
    </w:p>
    <w:p>
      <w:pPr>
        <w:pStyle w:val="Heading2"/>
        <w:spacing w:before="280" w:after="120"/>
      </w:pPr>
      <w:r>
        <w:rPr>
          <w:b/>
          <w:color w:val="1E4678"/>
          <w:sz w:val="26"/>
        </w:rPr>
        <w:t>(1) ¿Qué hacen los clientes hoy?</w:t>
      </w:r>
    </w:p>
    <w:p>
      <w:pPr>
        <w:spacing w:after="120"/>
        <w:ind w:left="216"/>
      </w:pPr>
      <w:r>
        <w:t>Actualmente, los trabajadores independientes y micronegociantes recurren a cuatro alternativas altamente ineficientes:</w:t>
        <w:br/>
        <w:t>• Usura Informal («Gota a Gota»): Financian inventario o capital de trabajo a tasas de cobro diario superiores al 500% EA, corriendo riesgos de violencia y extorsión.</w:t>
        <w:br/>
        <w:t>• Préstamos Familiares / Redes Cercanas: Crédito limitado, informal y de escasa cuantía que impide la escala del negocio.</w:t>
        <w:br/>
        <w:t>• Tarjetas de Crédito de Consumo Personales: Utilizan plásticos personales a tasa máxima de usura para financiar compras operativas.</w:t>
        <w:br/>
        <w:t>• Operación Sub-capitalizada: Operan estrictamente con el flujo de caja diario, retrasando compras a volumen e impidiendo el crecimiento.</w:t>
      </w:r>
    </w:p>
    <w:p>
      <w:pPr>
        <w:pStyle w:val="Heading2"/>
        <w:spacing w:before="280" w:after="120"/>
      </w:pPr>
      <w:r>
        <w:rPr>
          <w:b/>
          <w:color w:val="1E4678"/>
          <w:sz w:val="26"/>
        </w:rPr>
        <w:t>(2) ¿Por qué el problema es difícil de resolver?</w:t>
      </w:r>
    </w:p>
    <w:p>
      <w:pPr>
        <w:spacing w:after="120"/>
        <w:ind w:left="216"/>
      </w:pPr>
      <w:r>
        <w:t>El problema presenta tres barreras estructurales de alta complejidad:</w:t>
        <w:br/>
        <w:t>• Fragmentación y Volatilidad de Datos: Los ingresos de un independiente no provienen de un contrato formal único; son heterogéneos, estacionales y distribuidos en múltiples billeteras (Nequi, Daviplata, efectivo, facturas).</w:t>
        <w:br/>
        <w:t>• Asimetría e Incertidumbre Causal: Los modelos lineales tradicionales interpretan la varianza de ingresos como «alto riesgo de mora», cuando en realidad es la dinámica natural del comercio informal.</w:t>
        <w:br/>
        <w:t>• Barrera Regulatoria de Explicabilidad (XAI): El SARC (Circular 026) exige a las entidades justificar auditablemente por qué aprueban o rechazan un crédito. Los modelos complejos tradicionales operan como «cajas negras», impidiendo su adopción oficial en comités de riesgo.</w:t>
      </w:r>
    </w:p>
    <w:p>
      <w:pPr>
        <w:pStyle w:val="Heading2"/>
        <w:spacing w:before="280" w:after="120"/>
      </w:pPr>
      <w:r>
        <w:rPr>
          <w:b/>
          <w:color w:val="1E4678"/>
          <w:sz w:val="26"/>
        </w:rPr>
        <w:t>(3) ¿Qué tipo de mercado estamos abordando?</w:t>
      </w:r>
    </w:p>
    <w:p>
      <w:pPr>
        <w:spacing w:after="120"/>
        <w:ind w:left="216"/>
      </w:pPr>
      <w:r>
        <w:t>Abordamos un mercado B2B SaaS / API-First en los sectores Fintech, RegTech y Credit Analytics en Colombia y Latinoamérica:</w:t>
        <w:br/>
        <w:t>• Clientes Directos (B2B): Neobancos, Fintechs de originación, Cooperativas de Ahorro y Crédito, Entidades de Microcrédito y Bancos Tradicionales que requieren evaluar trabajadores independientes sin elevar su costo de cartera.</w:t>
        <w:br/>
        <w:t>• Beneficiarios Indirectos (B2B2C): Más de 13 millones de trabajadores independientes y micronegocios en Colombia con capacidad de repago no atendida.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