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i w:val="0"/>
          <w:color w:val="0B3C5D"/>
          <w:sz w:val="36"/>
        </w:rPr>
        <w:t>Taller 3: Paso 0 - Ideación y Validación de Emprendimiento</w:t>
      </w:r>
    </w:p>
    <w:p>
      <w:pPr>
        <w:keepNext/>
        <w:spacing w:before="280" w:after="120"/>
      </w:pPr>
      <w:r>
        <w:rPr>
          <w:rFonts w:ascii="Calibri" w:hAnsi="Calibri"/>
          <w:b/>
          <w:i w:val="0"/>
          <w:color w:val="0B3C5D"/>
          <w:sz w:val="36"/>
        </w:rPr>
        <w:t>No. Equipo: 5</w:t>
      </w:r>
    </w:p>
    <w:p>
      <w:pPr>
        <w:spacing w:before="40" w:after="60" w:line="276" w:lineRule="auto"/>
      </w:pPr>
      <w:r>
        <w:rPr>
          <w:rFonts w:ascii="Calibri" w:hAnsi="Calibri"/>
          <w:b/>
          <w:sz w:val="21"/>
        </w:rPr>
        <w:t>Integrantes:</w:t>
      </w:r>
    </w:p>
    <w:p>
      <w:pPr>
        <w:spacing w:before="20" w:after="40"/>
        <w:ind w:left="360"/>
      </w:pPr>
      <w:r>
        <w:rPr>
          <w:rFonts w:ascii="Calibri" w:hAnsi="Calibri"/>
          <w:b/>
          <w:color w:val="0B3C5D"/>
          <w:sz w:val="21"/>
        </w:rPr>
        <w:t xml:space="preserve">1. </w:t>
      </w:r>
      <w:r>
        <w:rPr>
          <w:rFonts w:ascii="Calibri" w:hAnsi="Calibri"/>
          <w:b/>
          <w:sz w:val="21"/>
        </w:rPr>
        <w:t>Santiago Sandoval</w:t>
      </w:r>
    </w:p>
    <w:p>
      <w:pPr>
        <w:spacing w:before="20" w:after="40"/>
        <w:ind w:left="360"/>
      </w:pPr>
      <w:r>
        <w:rPr>
          <w:rFonts w:ascii="Calibri" w:hAnsi="Calibri"/>
          <w:b/>
          <w:color w:val="0B3C5D"/>
          <w:sz w:val="21"/>
        </w:rPr>
        <w:t xml:space="preserve">2. </w:t>
      </w:r>
      <w:r>
        <w:rPr>
          <w:rFonts w:ascii="Calibri" w:hAnsi="Calibri"/>
          <w:b/>
          <w:sz w:val="21"/>
        </w:rPr>
        <w:t>Sebastián Ramos</w:t>
      </w:r>
    </w:p>
    <w:p>
      <w:pPr>
        <w:spacing w:before="20" w:after="40"/>
        <w:ind w:left="360"/>
      </w:pPr>
      <w:r>
        <w:rPr>
          <w:rFonts w:ascii="Calibri" w:hAnsi="Calibri"/>
          <w:b/>
          <w:color w:val="0B3C5D"/>
          <w:sz w:val="21"/>
        </w:rPr>
        <w:t xml:space="preserve">3. </w:t>
      </w:r>
      <w:r>
        <w:rPr>
          <w:rFonts w:ascii="Calibri" w:hAnsi="Calibri"/>
          <w:b/>
          <w:sz w:val="21"/>
        </w:rPr>
        <w:t>Julián Duarte</w:t>
      </w:r>
    </w:p>
    <w:p>
      <w:pPr>
        <w:spacing w:before="20" w:after="40"/>
        <w:ind w:left="360"/>
      </w:pPr>
      <w:r>
        <w:rPr>
          <w:rFonts w:ascii="Calibri" w:hAnsi="Calibri"/>
          <w:b/>
          <w:color w:val="0B3C5D"/>
          <w:sz w:val="21"/>
        </w:rPr>
        <w:t xml:space="preserve">4. </w:t>
      </w:r>
      <w:r>
        <w:rPr>
          <w:rFonts w:ascii="Calibri" w:hAnsi="Calibri"/>
          <w:b/>
          <w:sz w:val="21"/>
        </w:rPr>
        <w:t>Tomás Rincón</w:t>
      </w:r>
    </w:p>
    <w:p>
      <w:pPr>
        <w:spacing w:before="20" w:after="40"/>
        <w:ind w:left="360"/>
      </w:pPr>
      <w:r>
        <w:rPr>
          <w:rFonts w:ascii="Calibri" w:hAnsi="Calibri"/>
          <w:b/>
          <w:color w:val="0B3C5D"/>
          <w:sz w:val="21"/>
        </w:rPr>
        <w:t xml:space="preserve">5. </w:t>
      </w:r>
      <w:r>
        <w:rPr>
          <w:rFonts w:ascii="Calibri" w:hAnsi="Calibri"/>
          <w:b/>
          <w:sz w:val="21"/>
        </w:rPr>
        <w:t>Julián Jiménez</w:t>
      </w:r>
    </w:p>
    <w:p>
      <w:pPr>
        <w:spacing w:before="120" w:after="120"/>
        <w:pBdr>
          <w:bottom w:val="single" w:sz="6" w:space="1" w:color="0B3C5D"/>
        </w:pBdr>
      </w:pPr>
    </w:p>
    <w:p>
      <w:pPr>
        <w:keepNext/>
        <w:spacing w:before="280" w:after="120"/>
      </w:pPr>
      <w:r>
        <w:rPr>
          <w:rFonts w:ascii="Calibri" w:hAnsi="Calibri"/>
          <w:b/>
          <w:i w:val="0"/>
          <w:color w:val="0B3C5D"/>
          <w:sz w:val="36"/>
        </w:rPr>
        <w:t>PASO 0: ¿Cómo Empiezo? ¿Debería Hacerlo?</w:t>
      </w:r>
    </w:p>
    <w:p>
      <w:pPr>
        <w:spacing w:before="40" w:after="60" w:line="276" w:lineRule="auto"/>
      </w:pPr>
      <w:r>
        <w:rPr>
          <w:rFonts w:ascii="Calibri" w:hAnsi="Calibri"/>
          <w:b w:val="0"/>
          <w:i w:val="0"/>
          <w:sz w:val="21"/>
        </w:rPr>
        <w:t>Primero vas a compartir los resultados de tu IKIGAI con tu equipo:</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764"/>
        <w:gridCol w:w="764"/>
        <w:gridCol w:w="764"/>
        <w:gridCol w:w="764"/>
        <w:gridCol w:w="764"/>
        <w:gridCol w:w="764"/>
        <w:gridCol w:w="764"/>
        <w:gridCol w:w="764"/>
        <w:gridCol w:w="764"/>
        <w:gridCol w:w="764"/>
        <w:gridCol w:w="764"/>
        <w:gridCol w:w="764"/>
        <w:gridCol w:w="764"/>
      </w:tblGrid>
      <w:tr>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Estudiante</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Lo que AMO</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Pasión</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Misión</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Personalidad</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EL MUNDO NECESITA</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Carrera</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Vocación</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Rareza</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Lo que pueden PAGARME</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Profesión</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Para lo que soy BUENO</w:t>
            </w:r>
          </w:p>
        </w:tc>
        <w:tc>
          <w:tcPr>
            <w:tcW w:type="dxa" w:w="764"/>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IKIGAI</w:t>
            </w:r>
          </w:p>
        </w:tc>
      </w:tr>
      <w:tr>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Santiago Sandoval</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Descubrir patrones ocultos en datos, programar algoritmos de Machine Learning y optimizar modelos matemáticos.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Ciencia de Datos y Machine Learning Engineering.</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Reducir la asimetría de información y sesgos en decisiones financieras y sociales mediante estadística rigurosa.</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Analítico, metódico, orientado a la resolución de problemas complejos y enfocado en la precisión técnica.</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Modelos predictivos justos, transparentes y auditables que amplíen oportunidades económicas.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Ciencia de Datos / Estadística Aplicada</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Diseñar motores algorítmicos predictivos de alto impacto social.</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Habilidad para conectar inferencia causal bayesiana con arquitecturas escalables en producción.</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Desarrollo de motores de scoring y analítica predictiva avanzada B2B.</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Científico de Datos &amp; Machine Learning Engineer</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Modelado estadístico, Python, R, MLOps e inferencia estadística.</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Desarrollar soluciones de Machine Learning e inferencia causal que transformen datos crudos en decisiones financieras inclusivas.</w:t>
            </w:r>
          </w:p>
        </w:tc>
      </w:tr>
      <w:tr>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Sebastián Ramos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Diseñar modelos de negocio sostenibles, negociar, formular estrategias comerciales y analizar mercados.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Emprendimiento tecnológico, Finanzas Cuantitativas y Estrategia B2B.</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Conectar la innovación técnica en analítica con necesidades empresariales reales y escalables.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Estratégico, persuasivo, orientado a metas comerciales y líder de equipos interdisciplinarios.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Modelos de negocio sostenibles que democraticen el acceso al capital y aceleren el crecimiento de MiPyMEs.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Ciencia de Datos con énfasis en Finanzas y Estrategia</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Liderar la transformación de analítica de datos en soluciones comerciales de alto valor.</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Visión holística para monetizar algoritmos complejos traduciéndolos al lenguaje de juntas directivas.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Estrategia de producto, monetización SaaS y levantamiento de capital.</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Estratega de Negocios y Product Manager Financiero</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Modelado financiero, estructuración de propuestas B2B, pitch comercial y análisis de viabilidad.</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Liderar la estrategia corporativa y comercial de plataformas analíticas que generen inclusión y rentabilidad.</w:t>
            </w:r>
          </w:p>
        </w:tc>
      </w:tr>
      <w:tr>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Julián Duarte</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Explorar microdatos demográficos y económicos, construir pipelines ETL y depurar datasets complejos.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Estadística Aplicada, Análisis Exploratorio Riguroso y Calidad de Datos.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Democratizar el entendimiento de datos económicos para evitar decisiones basadas en intuiciones erradas.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Detallista, curioso, riguroso con los sesgos muestrales e investigativo.</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Limpieza, estructuración e interpretación fidedigna de datos no convencionales y dispersos.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Ciencia de Datos / Estadística</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Traducir datos ruidosos del mundo real en variables predictivas limpias y confiables.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Capacidad para extraer señales predictivas a partir de fuentes de datos no tradicionales y heterogéneas.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Consultoría en gobierno de datos, ingeniería de features y analítica exploratoria.</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Estadístico de Datos &amp; Feature Engineer</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Limpieza de datos (Data Wrangling), pruebas de hipótesis, análisis multivariado y SQL avanzado.</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Construir bases analíticas y pipelines de datos libres de sesgo para soportar modelos predictivos de alta precisión.</w:t>
            </w:r>
          </w:p>
        </w:tc>
      </w:tr>
      <w:tr>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Tomás Rincón</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Desplegar infraestructura en la nube, optimizar microservicios, seguridad informática y backend de alto rendimiento.</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MLOps, Arquitectura Cloud y Computación Escalable.</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Crear sistemas digitales ultra-rápidos, seguros y resilientes que protejan la privacidad de los usuarios.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Pragmático, estructurado, enfocado en eficiencia de cómputo y ciberseguridad.</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Infraestructura analítica robusta que procese millones de transacciones con latencia mínima y cero brechas de seguridad.</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Ciencia de Datos / Ingeniería de Software</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Diseñar arquitecturas de despliegue donde los modelos matemáticos operen en tiempo real.</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Dominio de microservicios contenerizados y optimización de latencia en pipelines analíticos.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Despliegue de arquitecturas en la nube (AWS/GCP), APIs seguras y observabilidad MLOps.</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Ingeniero MLOps &amp; Arquitecto de Infraestructura Cloud</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Docker, Kubernetes, FastAPIs, orquestación de datos (Airflow) y seguridad cloud.</w:t>
            </w:r>
          </w:p>
        </w:tc>
        <w:tc>
          <w:tcPr>
            <w:tcW w:type="dxa" w:w="764"/>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Garantizar que los modelos estadísticos operen en tiempo real con máxima confiabilidad, disponibilidad y seguridad.</w:t>
            </w:r>
          </w:p>
        </w:tc>
      </w:tr>
      <w:tr>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Julián Jiménez</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Comunicar ideas visualmente, diseñar interfaces intuitivas, UX/UI y contar historias persuasivas con datos (</w:t>
            </w:r>
            <w:r>
              <w:rPr>
                <w:rFonts w:ascii="Calibri" w:hAnsi="Calibri"/>
                <w:i/>
                <w:color w:val="282C34"/>
                <w:sz w:val="18"/>
              </w:rPr>
              <w:t>Data Storytelling</w:t>
            </w:r>
            <w:r>
              <w:rPr>
                <w:rFonts w:ascii="Calibri" w:hAnsi="Calibri"/>
                <w:b w:val="0"/>
                <w:i w:val="0"/>
                <w:color w:val="282C34"/>
                <w:sz w:val="18"/>
              </w:rPr>
              <w:t>).</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Visualización de Datos, Diseño de Experiencia de Usuario (UX/UI) y Product Design.</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Humanizar la analítica compleja para que cualquier tomador de decisiones comprenda y confíe en la estadística.</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Creativo, empático, observador del comportamiento del usuario y estético.</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Interfaces claras y explicables que desmitifiquen la "caja negra" de la inteligencia artificial.</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Ciencia de Datos con énfasis en Diseño Interactivo y UX</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Crear la interfaz visual y la narrativa que conecta al usuario final con la potencia de los algoritmos.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Destreza única para traducir explicabilidad estadística (SHAP/LIME) en dashboards interactivos y elegantes.</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Diseño de interfaces para SaaS analíticos, diseño de dashboards ejecutivos y consultoría en UX.</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Diseñador de Producto de Datos &amp; Especialista en UX/UI</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Figma, D3.js, Dashboards interactivos (PowerBI/Tableau/Streamlit) y Storytelling.</w:t>
            </w:r>
          </w:p>
        </w:tc>
        <w:tc>
          <w:tcPr>
            <w:tcW w:type="dxa" w:w="764"/>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Crear experiencias visuales intuitivas que hagan accesible y accionable la analítica predictiva avanzada.</w:t>
            </w:r>
          </w:p>
        </w:tc>
      </w:tr>
    </w:tbl>
    <w:p>
      <w:pPr>
        <w:spacing w:before="0" w:after="80"/>
      </w:pPr>
    </w:p>
    <w:p>
      <w:pPr>
        <w:spacing w:before="120" w:after="120"/>
        <w:pBdr>
          <w:bottom w:val="single" w:sz="6" w:space="1" w:color="0B3C5D"/>
        </w:pBdr>
      </w:pPr>
    </w:p>
    <w:p>
      <w:pPr>
        <w:spacing w:before="40" w:after="60" w:line="276" w:lineRule="auto"/>
      </w:pPr>
      <w:r>
        <w:rPr>
          <w:rFonts w:ascii="Calibri" w:hAnsi="Calibri"/>
          <w:b w:val="0"/>
          <w:i w:val="0"/>
          <w:sz w:val="21"/>
        </w:rPr>
        <w:t>Antes de comenzar este viaje de 24 pasos, primero debemos asegurarnos de dos cosas:</w:t>
      </w:r>
    </w:p>
    <w:p>
      <w:pPr>
        <w:spacing w:before="20" w:after="40"/>
        <w:ind w:left="360"/>
      </w:pPr>
      <w:r>
        <w:rPr>
          <w:rFonts w:ascii="Calibri" w:hAnsi="Calibri"/>
          <w:b/>
          <w:color w:val="0B3C5D"/>
          <w:sz w:val="21"/>
        </w:rPr>
        <w:t xml:space="preserve">1. </w:t>
      </w:r>
      <w:r>
        <w:rPr>
          <w:rFonts w:ascii="Calibri" w:hAnsi="Calibri"/>
          <w:b w:val="0"/>
          <w:i w:val="0"/>
          <w:sz w:val="21"/>
        </w:rPr>
        <w:t xml:space="preserve">¿Quiero iniciar una empresa? </w:t>
      </w:r>
      <w:r>
        <w:rPr>
          <w:rFonts w:ascii="Calibri" w:hAnsi="Calibri"/>
          <w:b/>
          <w:sz w:val="21"/>
        </w:rPr>
        <w:t>Sí, existe un compromiso total por parte del equipo.</w:t>
      </w:r>
    </w:p>
    <w:p>
      <w:pPr>
        <w:spacing w:before="20" w:after="40"/>
        <w:ind w:left="360"/>
      </w:pPr>
      <w:r>
        <w:rPr>
          <w:rFonts w:ascii="Calibri" w:hAnsi="Calibri"/>
          <w:b/>
          <w:color w:val="0B3C5D"/>
          <w:sz w:val="21"/>
        </w:rPr>
        <w:t xml:space="preserve">2. </w:t>
      </w:r>
      <w:r>
        <w:rPr>
          <w:rFonts w:ascii="Calibri" w:hAnsi="Calibri"/>
          <w:b w:val="0"/>
          <w:i w:val="0"/>
          <w:sz w:val="21"/>
        </w:rPr>
        <w:t xml:space="preserve">¿Tengo una idea o tecnología a la que le pueda hacer una Segmentación de Mercado (Paso 1)? </w:t>
      </w:r>
      <w:r>
        <w:rPr>
          <w:rFonts w:ascii="Calibri" w:hAnsi="Calibri"/>
          <w:b/>
          <w:sz w:val="21"/>
        </w:rPr>
        <w:t>Sí: Plataforma de Scoring Crediticio Alternativo e Inferencia Causal para MiPyMEs basada en Estadística Avanzada y Ciencia de Datos (*StatCredit AI*).</w:t>
      </w:r>
    </w:p>
    <w:p>
      <w:pPr>
        <w:spacing w:before="40" w:after="60" w:line="276" w:lineRule="auto"/>
      </w:pPr>
      <w:r>
        <w:rPr>
          <w:rFonts w:ascii="Calibri" w:hAnsi="Calibri"/>
          <w:b w:val="0"/>
          <w:i w:val="0"/>
          <w:sz w:val="21"/>
        </w:rPr>
        <w:t>Iniciar una empresa no es fácil, es exactamente lo opuesto. Será muy, muy difícil y humillante durante todo el viaje. Entonces, ¿realmente quieres iniciar una empresa? ¿Cómo optimizas tus posibilidades de alcanzar una recompensa satisfactoria al final? ¿Qué tipo de preparación necesitas para comenzar con los ojos bien abiertos, entendiendo completamente lo que implica una startup y habiendo hecho todo lo posible para aumentar tus probabilidades de éxito?</w:t>
      </w:r>
    </w:p>
    <w:p>
      <w:pPr>
        <w:spacing w:before="40" w:after="60" w:line="276" w:lineRule="auto"/>
      </w:pPr>
      <w:r>
        <w:rPr>
          <w:rFonts w:ascii="Calibri" w:hAnsi="Calibri"/>
          <w:b/>
          <w:sz w:val="21"/>
        </w:rPr>
        <w:t>Según el Libro:</w:t>
      </w:r>
      <w:r>
        <w:rPr>
          <w:rFonts w:ascii="Calibri" w:hAnsi="Calibri"/>
          <w:b w:val="0"/>
          <w:i w:val="0"/>
          <w:sz w:val="21"/>
        </w:rPr>
        <w:t xml:space="preserve"> Consulte las páginas 15-21 de </w:t>
      </w:r>
      <w:r>
        <w:rPr>
          <w:rFonts w:ascii="Calibri" w:hAnsi="Calibri"/>
          <w:i/>
          <w:sz w:val="21"/>
        </w:rPr>
        <w:t>Disciplined Entrepreneurship</w:t>
      </w:r>
      <w:r>
        <w:rPr>
          <w:rFonts w:ascii="Calibri" w:hAnsi="Calibri"/>
          <w:b w:val="0"/>
          <w:i w:val="0"/>
          <w:sz w:val="21"/>
        </w:rPr>
        <w:t xml:space="preserve"> para obtener conocimientos básicos sobre este paso.</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3312"/>
        <w:gridCol w:w="3312"/>
        <w:gridCol w:w="3312"/>
      </w:tblGrid>
      <w:tr>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¡Tengo un avance tecnológico!</w:t>
            </w:r>
          </w:p>
        </w:tc>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¡Tengo una idea!</w:t>
            </w:r>
          </w:p>
        </w:tc>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¡Tengo una pasión!</w:t>
            </w: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Modelos de inferencia causal bayesiana y algoritmos de Machine Learning interpretable (XAI) para evaluar riesgo crediticio no lineal.</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Una plataforma SaaS API-first que evalúa en segundos la solvencia real de micronegocios usando datos alternativos y transaccionales.</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Cerrar la brecha de exclusión financiera en Colombia y América Latina, empoderando a millones de microempresarios a través de la ciencia de datos.</w:t>
            </w:r>
          </w:p>
        </w:tc>
      </w:tr>
    </w:tbl>
    <w:p>
      <w:pPr>
        <w:spacing w:before="0" w:after="80"/>
      </w:pPr>
    </w:p>
    <w:p>
      <w:pPr>
        <w:spacing w:before="120" w:after="120"/>
        <w:pBdr>
          <w:bottom w:val="single" w:sz="6" w:space="1" w:color="0B3C5D"/>
        </w:pBdr>
      </w:pPr>
    </w:p>
    <w:p>
      <w:pPr>
        <w:keepNext/>
        <w:spacing w:before="240" w:after="80"/>
      </w:pPr>
      <w:r>
        <w:rPr>
          <w:rFonts w:ascii="Calibri" w:hAnsi="Calibri"/>
          <w:b/>
          <w:i w:val="0"/>
          <w:color w:val="1D5D9B"/>
          <w:sz w:val="28"/>
        </w:rPr>
        <w:t>TU PASIÓN</w:t>
      </w:r>
    </w:p>
    <w:p>
      <w:pPr>
        <w:spacing w:before="40" w:after="60" w:line="276" w:lineRule="auto"/>
      </w:pPr>
      <w:r>
        <w:rPr>
          <w:rFonts w:ascii="Calibri" w:hAnsi="Calibri"/>
          <w:b w:val="0"/>
          <w:i w:val="0"/>
          <w:sz w:val="21"/>
        </w:rPr>
        <w:t>Empiezo con la pasión porque si no tienes esto, nunca tendrás éxito. Es una condición necesaria pero no suficiente.</w:t>
      </w:r>
    </w:p>
    <w:p>
      <w:pPr>
        <w:keepNext/>
        <w:spacing w:before="180" w:after="60"/>
      </w:pPr>
      <w:r>
        <w:rPr>
          <w:rFonts w:ascii="Calibri" w:hAnsi="Calibri"/>
          <w:b/>
          <w:i w:val="0"/>
          <w:color w:val="324B64"/>
          <w:sz w:val="24"/>
        </w:rPr>
        <w:t>Lista de Verificación de Pasión - checklist</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3312"/>
        <w:gridCol w:w="3312"/>
        <w:gridCol w:w="3312"/>
      </w:tblGrid>
      <w:tr>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Entiendo que...</w:t>
            </w:r>
          </w:p>
        </w:tc>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Sí</w:t>
            </w:r>
          </w:p>
        </w:tc>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No</w:t>
            </w: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1. Fundar una empresa será muy, muy difícil y todavía quiero hacerlo.</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FFFFF"/>
          </w:tcPr>
          <w:p>
            <w:pPr>
              <w:spacing w:before="40" w:after="40" w:line="252" w:lineRule="auto"/>
            </w:pPr>
          </w:p>
        </w:tc>
      </w:tr>
      <w:tr>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2. Será un proceso largo cargado de fracasos humillantes en el camino, y debo aprender de ellos y no tomarlos como algo personal.</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7F9FB"/>
          </w:tcPr>
          <w:p>
            <w:pPr>
              <w:spacing w:before="40" w:after="40" w:line="252" w:lineRule="auto"/>
            </w:pP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3. No puedo hacerlo solo.</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FFFFF"/>
          </w:tcPr>
          <w:p>
            <w:pPr>
              <w:spacing w:before="40" w:after="40" w:line="252" w:lineRule="auto"/>
            </w:pPr>
          </w:p>
        </w:tc>
      </w:tr>
      <w:tr>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4. El camino hacia el éxito no es un algoritmo con reglas establecidas a seguir, sino un proceso iterativo en el que solo puedo aumentar o disminuir las probabilidades de éxito, pero no puedo garantizar nada. Incluso si logro el éxito, es solo temporal.</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7F9FB"/>
          </w:tcPr>
          <w:p>
            <w:pPr>
              <w:spacing w:before="40" w:after="40" w:line="252" w:lineRule="auto"/>
            </w:pP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5. El objetivo es hacer una organización "antifrágil", una que se fortalezca con el tiempo al enfrentar problemas, fracasos, incertidumbre y sorpresas.</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FFFFF"/>
          </w:tcPr>
          <w:p>
            <w:pPr>
              <w:spacing w:before="40" w:after="40" w:line="252" w:lineRule="auto"/>
            </w:pPr>
          </w:p>
        </w:tc>
      </w:tr>
      <w:tr>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6. Cuando otros brinden consejos, escucharé, pero también reconoceré que depende de mí elegir qué consejo implementar y cómo implementarlo, ya que solo yo soy dueño de los resultados finales y la responsabilidad.</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7F9FB"/>
          </w:tcPr>
          <w:p>
            <w:pPr>
              <w:spacing w:before="40" w:after="40" w:line="252" w:lineRule="auto"/>
            </w:pP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7. Tendré que salir de mi zona de confort todos los días para crecer y seguir teniendo éxito.</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FFFFF"/>
          </w:tcPr>
          <w:p>
            <w:pPr>
              <w:spacing w:before="40" w:after="40" w:line="252" w:lineRule="auto"/>
            </w:pPr>
          </w:p>
        </w:tc>
      </w:tr>
      <w:tr>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8. Estoy haciendo esto por más que el dinero. Creo en mi causa y en mi equipo.</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X</w:t>
            </w:r>
          </w:p>
        </w:tc>
        <w:tc>
          <w:tcPr>
            <w:tcW w:type="dxa" w:w="3312"/>
            <w:vAlign w:val="center"/>
            <w:tcMar>
              <w:top w:w="100" w:type="dxa"/>
              <w:bottom w:w="100" w:type="dxa"/>
              <w:left w:w="120" w:type="dxa"/>
              <w:right w:w="120" w:type="dxa"/>
            </w:tcMar>
            <w:shd w:fill="F7F9FB"/>
          </w:tcPr>
          <w:p>
            <w:pPr>
              <w:spacing w:before="40" w:after="40" w:line="252" w:lineRule="auto"/>
            </w:pPr>
          </w:p>
        </w:tc>
      </w:tr>
    </w:tbl>
    <w:p>
      <w:pPr>
        <w:spacing w:before="0" w:after="80"/>
      </w:pPr>
    </w:p>
    <w:p>
      <w:pPr>
        <w:spacing w:before="40" w:after="60" w:line="276" w:lineRule="auto"/>
      </w:pPr>
      <w:r>
        <w:rPr>
          <w:rFonts w:ascii="Calibri" w:hAnsi="Calibri"/>
          <w:b/>
          <w:sz w:val="21"/>
        </w:rPr>
        <w:t>Reflexión del Equipo:</w:t>
      </w:r>
    </w:p>
    <w:p>
      <w:pPr>
        <w:spacing w:before="40" w:after="60" w:line="276" w:lineRule="auto"/>
      </w:pPr>
      <w:r>
        <w:rPr>
          <w:rFonts w:ascii="Calibri" w:hAnsi="Calibri"/>
          <w:b w:val="0"/>
          <w:i w:val="0"/>
          <w:sz w:val="21"/>
        </w:rPr>
        <w:t>El Grupo 5 valida unánimemente el checklist con "Sí". Comprendemos que aplicar ciencia de datos al sector financiero exige una resiliencia extrema frente a barreras regulatorias, iteraciones técnicas continuas y validaciones comerciales demandantes. Nuestra motivación trasciende el retorno financiero: buscamos erradicar las trampas del crédito informal ("gota a gota") mediante la democratización de modelos estadísticos justos y explicables.</w:t>
      </w:r>
    </w:p>
    <w:p>
      <w:pPr>
        <w:spacing w:before="120" w:after="120"/>
        <w:pBdr>
          <w:bottom w:val="single" w:sz="6" w:space="1" w:color="0B3C5D"/>
        </w:pBdr>
      </w:pPr>
    </w:p>
    <w:p>
      <w:pPr>
        <w:keepNext/>
        <w:spacing w:before="240" w:after="80"/>
      </w:pPr>
      <w:r>
        <w:rPr>
          <w:rFonts w:ascii="Calibri" w:hAnsi="Calibri"/>
          <w:b/>
          <w:i w:val="0"/>
          <w:color w:val="1D5D9B"/>
          <w:sz w:val="28"/>
        </w:rPr>
        <w:t>TU EQUIPO</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1656"/>
        <w:gridCol w:w="1656"/>
        <w:gridCol w:w="1656"/>
        <w:gridCol w:w="1656"/>
        <w:gridCol w:w="1656"/>
        <w:gridCol w:w="1656"/>
      </w:tblGrid>
      <w:tr>
        <w:tc>
          <w:tcPr>
            <w:tcW w:type="dxa" w:w="1656"/>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Nombre</w:t>
            </w:r>
          </w:p>
        </w:tc>
        <w:tc>
          <w:tcPr>
            <w:tcW w:type="dxa" w:w="1656"/>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¿Cómo nos conocemos?</w:t>
            </w:r>
          </w:p>
        </w:tc>
        <w:tc>
          <w:tcPr>
            <w:tcW w:type="dxa" w:w="1656"/>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Conocimientos</w:t>
            </w:r>
          </w:p>
        </w:tc>
        <w:tc>
          <w:tcPr>
            <w:tcW w:type="dxa" w:w="1656"/>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Habilidades</w:t>
            </w:r>
          </w:p>
        </w:tc>
        <w:tc>
          <w:tcPr>
            <w:tcW w:type="dxa" w:w="1656"/>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Pasiones/Intereses</w:t>
            </w:r>
          </w:p>
        </w:tc>
        <w:tc>
          <w:tcPr>
            <w:tcW w:type="dxa" w:w="1656"/>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Potencial del Equipo Fundador</w:t>
            </w:r>
          </w:p>
        </w:tc>
      </w:tr>
      <w:tr>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Santiago Sandoval</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Compañeros de la carrera de Ciencia de Datos en la Universidad Central; proyectos previos de analítica predictiva.</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Modelado estadístico avanzado, Machine Learning, Inferencia Bayesiana, Series de Tiempo y Optimización Matemática.</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Programación en Python/R, diseño de algoritmos de scoring, evaluación de métricas de discriminación (KS, AUC, Gini) y modelado causal.</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Inteligencia Artificial ética, mitigación de sesgos algorítmicos y modelos estadísticos de alta complejidad.</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Líder Técnico / Chief Data Scientist</w:t>
            </w:r>
            <w:r>
              <w:rPr>
                <w:rFonts w:ascii="Calibri" w:hAnsi="Calibri"/>
                <w:b w:val="0"/>
                <w:i w:val="0"/>
                <w:color w:val="282C34"/>
                <w:sz w:val="18"/>
              </w:rPr>
              <w:t>: Lidera la I+D algorítmica y el diseño del motor de evaluación crediticia.</w:t>
            </w:r>
          </w:p>
        </w:tc>
      </w:tr>
      <w:tr>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Sebastián Ramos</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Proyectos colaborativos académicos y de emprendimiento universitario.</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Finanzas corporativas, estructuración de modelos SaaS B2B, regulación Fintech colombiana (SFC) y evaluación de mercados.</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Pitching, negociación comercial B2B, modelación financiera, análisis de unit economics (CAC, LTV) y gestión de alianzas.</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Venture Capital, ecosistema Fintech en LatAm, escalabilidad comercial y networking estratégico.</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Líder Ejecutivo / CEO &amp; Business Strategist</w:t>
            </w:r>
            <w:r>
              <w:rPr>
                <w:rFonts w:ascii="Calibri" w:hAnsi="Calibri"/>
                <w:b w:val="0"/>
                <w:i w:val="0"/>
                <w:color w:val="282C34"/>
                <w:sz w:val="18"/>
              </w:rPr>
              <w:t>: Encargado de la visión de negocio, relación con clientes B2B (bancos/Fintechs) e inversionistas.</w:t>
            </w:r>
          </w:p>
        </w:tc>
      </w:tr>
      <w:tr>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Julián Duarte</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Espacios de investigación en estadística, bases de datos y análisis econométrico.</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Muestreo estadístico, pruebas no paramétricas, ingeniería de características (Feature Engineering) y econometría.</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Extracción y limpieza de datos heterogéneos (ETL), análisis de correlaciones espurias, SQL avanzado y detección de anomalías.</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Microeconomía aplicada, análisis de datos públicos del DANE y rigor metodológico en datos ruidosos.</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Líder de Datos / Head of Data Engineering &amp; Quality</w:t>
            </w:r>
            <w:r>
              <w:rPr>
                <w:rFonts w:ascii="Calibri" w:hAnsi="Calibri"/>
                <w:b w:val="0"/>
                <w:i w:val="0"/>
                <w:color w:val="282C34"/>
                <w:sz w:val="18"/>
              </w:rPr>
              <w:t>: Garantiza la integridad, consistencia y enriquecimiento de las variables del modelo.</w:t>
            </w:r>
          </w:p>
        </w:tc>
      </w:tr>
      <w:tr>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Tomás Rincón</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Colaboración en laboratorios de desarrollo de software y computación en la nube.</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Arquitectura de microservicios, MLOps, computación en la nube (AWS/GCP), seguridad y bases de datos NoSQL/SQL.</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Docker, Kubernetes, CI/CD, FastAPI, orquestación con Apache Airflow, encriptación de datos y balanceo de carga.</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Arquitecturas serverless, observabilidad de modelos en producción y ciberseguridad financiera.</w:t>
            </w:r>
          </w:p>
        </w:tc>
        <w:tc>
          <w:tcPr>
            <w:tcW w:type="dxa" w:w="1656"/>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Líder de Infraestructura / CTO &amp; MLOps Engineer</w:t>
            </w:r>
            <w:r>
              <w:rPr>
                <w:rFonts w:ascii="Calibri" w:hAnsi="Calibri"/>
                <w:b w:val="0"/>
                <w:i w:val="0"/>
                <w:color w:val="282C34"/>
                <w:sz w:val="18"/>
              </w:rPr>
              <w:t>: Asegura que el servicio responda en &lt;400ms con disponibilidad del 99.99% y cumplimiento regulatorio.</w:t>
            </w:r>
          </w:p>
        </w:tc>
      </w:tr>
      <w:tr>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Julián Jiménez</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Proyectos de diseño interactivo, visualización de datos y usabilidad.</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Diseño centrado en el usuario (UX/UI), Design Thinking, visualización de datos cuantitativos y ergonomía digital.</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Prototipado en Figma, frontend analítico (React, D3.js), diseño de dashboards explicables y pruebas de usabilidad con usuarios reales.</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Explicabilidad de la IA (XAI), comunicación visual de la incertidumbre estadística y accesibilidad digital.</w:t>
            </w:r>
          </w:p>
        </w:tc>
        <w:tc>
          <w:tcPr>
            <w:tcW w:type="dxa" w:w="1656"/>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Líder de Producto &amp; UX / Chief Product Officer (CPO)</w:t>
            </w:r>
            <w:r>
              <w:rPr>
                <w:rFonts w:ascii="Calibri" w:hAnsi="Calibri"/>
                <w:b w:val="0"/>
                <w:i w:val="0"/>
                <w:color w:val="282C34"/>
                <w:sz w:val="18"/>
              </w:rPr>
              <w:t>: Diseña la experiencia de usuario tanto para analistas de crédito como para microempresarios.</w:t>
            </w:r>
          </w:p>
        </w:tc>
      </w:tr>
    </w:tbl>
    <w:p>
      <w:pPr>
        <w:spacing w:before="0" w:after="80"/>
      </w:pPr>
    </w:p>
    <w:p>
      <w:pPr>
        <w:keepNext/>
        <w:spacing w:before="180" w:after="60"/>
      </w:pPr>
      <w:r>
        <w:rPr>
          <w:rFonts w:ascii="Calibri" w:hAnsi="Calibri"/>
          <w:b/>
          <w:i w:val="0"/>
          <w:color w:val="324B64"/>
          <w:sz w:val="24"/>
        </w:rPr>
        <w:t>Modelo de las 3 H (Hacker, Hustler, Hipster):</w:t>
      </w:r>
    </w:p>
    <w:p>
      <w:pPr>
        <w:spacing w:before="20" w:after="40"/>
        <w:ind w:left="360"/>
      </w:pPr>
      <w:r>
        <w:rPr>
          <w:rFonts w:ascii="Calibri" w:hAnsi="Calibri"/>
          <w:b/>
          <w:color w:val="0B3C5D"/>
          <w:sz w:val="21"/>
        </w:rPr>
        <w:t xml:space="preserve">1. </w:t>
      </w:r>
      <w:r>
        <w:rPr>
          <w:rFonts w:ascii="Calibri" w:hAnsi="Calibri"/>
          <w:b/>
          <w:sz w:val="21"/>
        </w:rPr>
        <w:t>¿Quién en tu equipo es tu "hacker" principal?</w:t>
      </w:r>
    </w:p>
    <w:p>
      <w:pPr>
        <w:pStyle w:val="ListBullet"/>
        <w:spacing w:before="20" w:after="40"/>
        <w:ind w:left="360"/>
      </w:pPr>
      <w:r>
        <w:rPr>
          <w:rFonts w:ascii="Calibri" w:hAnsi="Calibri"/>
          <w:b/>
          <w:sz w:val="21"/>
        </w:rPr>
        <w:t>Santiago Sandoval</w:t>
      </w:r>
      <w:r>
        <w:rPr>
          <w:rFonts w:ascii="Calibri" w:hAnsi="Calibri"/>
          <w:b w:val="0"/>
          <w:i w:val="0"/>
          <w:sz w:val="21"/>
        </w:rPr>
        <w:t xml:space="preserve"> (Hacker de Algoritmos y Modelos Estadísticos) apoyado técnicamente por </w:t>
      </w:r>
      <w:r>
        <w:rPr>
          <w:rFonts w:ascii="Calibri" w:hAnsi="Calibri"/>
          <w:b/>
          <w:sz w:val="21"/>
        </w:rPr>
        <w:t>Tomás Rincón</w:t>
      </w:r>
      <w:r>
        <w:rPr>
          <w:rFonts w:ascii="Calibri" w:hAnsi="Calibri"/>
          <w:b w:val="0"/>
          <w:i w:val="0"/>
          <w:sz w:val="21"/>
        </w:rPr>
        <w:t xml:space="preserve"> (Hacker de Infraestructura/Cloud) y </w:t>
      </w:r>
      <w:r>
        <w:rPr>
          <w:rFonts w:ascii="Calibri" w:hAnsi="Calibri"/>
          <w:b/>
          <w:sz w:val="21"/>
        </w:rPr>
        <w:t>Julián Duarte</w:t>
      </w:r>
      <w:r>
        <w:rPr>
          <w:rFonts w:ascii="Calibri" w:hAnsi="Calibri"/>
          <w:b w:val="0"/>
          <w:i w:val="0"/>
          <w:sz w:val="21"/>
        </w:rPr>
        <w:t xml:space="preserve"> (Hacker de Datos/ETL).</w:t>
      </w:r>
    </w:p>
    <w:p>
      <w:pPr>
        <w:spacing w:before="20" w:after="40"/>
        <w:ind w:left="360"/>
      </w:pPr>
      <w:r>
        <w:rPr>
          <w:rFonts w:ascii="Calibri" w:hAnsi="Calibri"/>
          <w:b/>
          <w:color w:val="0B3C5D"/>
          <w:sz w:val="21"/>
        </w:rPr>
        <w:t xml:space="preserve">2. </w:t>
      </w:r>
      <w:r>
        <w:rPr>
          <w:rFonts w:ascii="Calibri" w:hAnsi="Calibri"/>
          <w:b/>
          <w:sz w:val="21"/>
        </w:rPr>
        <w:t>¿Quién en tu equipo es tu "hustler" principal?</w:t>
      </w:r>
    </w:p>
    <w:p>
      <w:pPr>
        <w:pStyle w:val="ListBullet"/>
        <w:spacing w:before="20" w:after="40"/>
        <w:ind w:left="360"/>
      </w:pPr>
      <w:r>
        <w:rPr>
          <w:rFonts w:ascii="Calibri" w:hAnsi="Calibri"/>
          <w:b/>
          <w:sz w:val="21"/>
        </w:rPr>
        <w:t>Sebastián Ramos</w:t>
      </w:r>
      <w:r>
        <w:rPr>
          <w:rFonts w:ascii="Calibri" w:hAnsi="Calibri"/>
          <w:b w:val="0"/>
          <w:i w:val="0"/>
          <w:sz w:val="21"/>
        </w:rPr>
        <w:t xml:space="preserve"> (Hustler Comercial y Estratega de Negocio B2B).</w:t>
      </w:r>
    </w:p>
    <w:p>
      <w:pPr>
        <w:spacing w:before="20" w:after="40"/>
        <w:ind w:left="360"/>
      </w:pPr>
      <w:r>
        <w:rPr>
          <w:rFonts w:ascii="Calibri" w:hAnsi="Calibri"/>
          <w:b/>
          <w:color w:val="0B3C5D"/>
          <w:sz w:val="21"/>
        </w:rPr>
        <w:t xml:space="preserve">3. </w:t>
      </w:r>
      <w:r>
        <w:rPr>
          <w:rFonts w:ascii="Calibri" w:hAnsi="Calibri"/>
          <w:b/>
          <w:sz w:val="21"/>
        </w:rPr>
        <w:t>¿Quién en tu equipo es tu "hipster" principal?</w:t>
      </w:r>
    </w:p>
    <w:p>
      <w:pPr>
        <w:pStyle w:val="ListBullet"/>
        <w:spacing w:before="20" w:after="40"/>
        <w:ind w:left="360"/>
      </w:pPr>
      <w:r>
        <w:rPr>
          <w:rFonts w:ascii="Calibri" w:hAnsi="Calibri"/>
          <w:b/>
          <w:sz w:val="21"/>
        </w:rPr>
        <w:t>Julián Jiménez</w:t>
      </w:r>
      <w:r>
        <w:rPr>
          <w:rFonts w:ascii="Calibri" w:hAnsi="Calibri"/>
          <w:b w:val="0"/>
          <w:i w:val="0"/>
          <w:sz w:val="21"/>
        </w:rPr>
        <w:t xml:space="preserve"> (Hipster de Diseño de Producto, UX y Visualización de Datos Explicable).</w:t>
      </w:r>
    </w:p>
    <w:p>
      <w:pPr>
        <w:spacing w:before="40" w:after="60" w:line="276" w:lineRule="auto"/>
      </w:pPr>
      <w:r>
        <w:rPr>
          <w:rFonts w:ascii="Calibri" w:hAnsi="Calibri"/>
          <w:b/>
          <w:sz w:val="21"/>
        </w:rPr>
        <w:t>Plan para llenar vacíos de capacidad:</w:t>
      </w:r>
    </w:p>
    <w:p>
      <w:pPr>
        <w:pStyle w:val="ListBullet"/>
        <w:spacing w:before="20" w:after="40"/>
        <w:ind w:left="360"/>
      </w:pPr>
      <w:r>
        <w:rPr>
          <w:rFonts w:ascii="Calibri" w:hAnsi="Calibri"/>
          <w:b/>
          <w:sz w:val="21"/>
        </w:rPr>
        <w:t>Corto Plazo:</w:t>
      </w:r>
      <w:r>
        <w:rPr>
          <w:rFonts w:ascii="Calibri" w:hAnsi="Calibri"/>
          <w:b w:val="0"/>
          <w:i w:val="0"/>
          <w:sz w:val="21"/>
        </w:rPr>
        <w:t xml:space="preserve"> Apoyo en consultorías regulatorias y asesoría legal externa en leyes de protección de datos (Habeas Data - Ley 1266 y 1581) y normativas de la Superintendencia Financiera de Colombia (Circular Externa 029).</w:t>
      </w:r>
    </w:p>
    <w:p>
      <w:pPr>
        <w:pStyle w:val="ListBullet"/>
        <w:spacing w:before="20" w:after="40"/>
        <w:ind w:left="360"/>
      </w:pPr>
      <w:r>
        <w:rPr>
          <w:rFonts w:ascii="Calibri" w:hAnsi="Calibri"/>
          <w:b/>
          <w:sz w:val="21"/>
        </w:rPr>
        <w:t>Mediano Plazo:</w:t>
      </w:r>
      <w:r>
        <w:rPr>
          <w:rFonts w:ascii="Calibri" w:hAnsi="Calibri"/>
          <w:b w:val="0"/>
          <w:i w:val="0"/>
          <w:sz w:val="21"/>
        </w:rPr>
        <w:t xml:space="preserve"> Incorporación de un asesor senior con experiencia previa en riesgo crediticio en banca tradicional o Fintechs consolidadas.</w:t>
      </w:r>
    </w:p>
    <w:p>
      <w:pPr>
        <w:pStyle w:val="ListBullet"/>
        <w:spacing w:before="20" w:after="40"/>
        <w:ind w:left="360"/>
      </w:pPr>
      <w:r>
        <w:rPr>
          <w:rFonts w:ascii="Calibri" w:hAnsi="Calibri"/>
          <w:b/>
          <w:sz w:val="21"/>
        </w:rPr>
        <w:t>Largo Plazo:</w:t>
      </w:r>
      <w:r>
        <w:rPr>
          <w:rFonts w:ascii="Calibri" w:hAnsi="Calibri"/>
          <w:b w:val="0"/>
          <w:i w:val="0"/>
          <w:sz w:val="21"/>
        </w:rPr>
        <w:t xml:space="preserve"> Creación de un comité de ética algorítmica y cumplimiento normativo (Compliance &amp; Risk Governance).</w:t>
      </w:r>
    </w:p>
    <w:p>
      <w:pPr>
        <w:spacing w:before="120" w:after="120"/>
        <w:pBdr>
          <w:bottom w:val="single" w:sz="6" w:space="1" w:color="0B3C5D"/>
        </w:pBdr>
      </w:pPr>
    </w:p>
    <w:p>
      <w:pPr>
        <w:keepNext/>
        <w:spacing w:before="240" w:after="80"/>
      </w:pPr>
      <w:r>
        <w:rPr>
          <w:rFonts w:ascii="Calibri" w:hAnsi="Calibri"/>
          <w:b/>
          <w:i w:val="0"/>
          <w:color w:val="1D5D9B"/>
          <w:sz w:val="28"/>
        </w:rPr>
        <w:t>IDEANDO UNA IDEA O UNA TECNOLOGÍA</w:t>
      </w:r>
    </w:p>
    <w:p>
      <w:pPr>
        <w:keepNext/>
        <w:spacing w:before="180" w:after="60"/>
      </w:pPr>
      <w:r>
        <w:rPr>
          <w:rFonts w:ascii="Calibri" w:hAnsi="Calibri"/>
          <w:b/>
          <w:i w:val="0"/>
          <w:color w:val="324B64"/>
          <w:sz w:val="24"/>
        </w:rPr>
        <w:t>Notas de Lluvia de Ideas sobre Idea/Tecnología</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3312"/>
        <w:gridCol w:w="3312"/>
        <w:gridCol w:w="3312"/>
      </w:tblGrid>
      <w:tr>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Dimensión</w:t>
            </w:r>
          </w:p>
        </w:tc>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Pregunta Guía</w:t>
            </w:r>
          </w:p>
        </w:tc>
        <w:tc>
          <w:tcPr>
            <w:tcW w:type="dxa" w:w="331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Diagnóstico del Equipo 5</w:t>
            </w: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Conocimientos:</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¿Cuál fue el enfoque de tu educación/carrera?</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Ciencia de Datos, Modelado Estadístico Multivariado, Inferencia Causal, Machine Learning, Econometría y Arquitectura Cloud en la Universidad Central.</w:t>
            </w:r>
          </w:p>
        </w:tc>
      </w:tr>
      <w:tr>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Capacidades:</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¿En qué eres más competente?</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Desarrollo de pipelines analíticos, modelado predictivo no lineal, optimización matemática, diseño de APIs seguras y desarrollo de interfaces UX analíticas orientadas a la explicabilidad.</w:t>
            </w: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Conexiones:</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¿A quién conoces con experiencia en diferentes industrias? ¿Conoces a otros emprendedores?</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Contactos en la comunidad de Colombia Fintech, mentores académicos en estadística y econometría de la UEC, conexiones con directores de riesgo en cooperativas financieras y microfinancieras regionales.</w:t>
            </w:r>
          </w:p>
        </w:tc>
      </w:tr>
      <w:tr>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Activos financieros:</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¿Tienes acceso a un capital financiero significativo o dependerás de ahorros personales para empezar?</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Dependencia inicial de recursos propios (bootstrapping), postulaciones a fondos de capital semilla universitarios (Fondo Emprender SENA, convocatorias MinCiencias) y créditos en la nube (AWS Activate for Startups).</w:t>
            </w:r>
          </w:p>
        </w:tc>
      </w:tr>
      <w:tr>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Experiencia pasada de trabajo/vida:</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En trabajos anteriores que has tenido, o en experiencias previas en tu vida, ¿qué ineficiencias o "puntos de dolor" existían?</w:t>
            </w:r>
          </w:p>
        </w:tc>
        <w:tc>
          <w:tcPr>
            <w:tcW w:type="dxa" w:w="331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Amigos y familiares microempresarios son rechazados sistemáticamente por la banca tradicional por carecer de historial crediticio en Datacrédito o estados financieros auditados, a pesar de tener negocios rentables y flujos de caja sólidos diarios.</w:t>
            </w:r>
          </w:p>
        </w:tc>
      </w:tr>
      <w:tr>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Pasión por un mercado particular:</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¿Quieres mejorar la atención médica? ¿La educación? ¿La energía? ¿El transporte?</w:t>
            </w:r>
          </w:p>
        </w:tc>
        <w:tc>
          <w:tcPr>
            <w:tcW w:type="dxa" w:w="331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Inclusión Financiera y Desarrollo Económico (Fintech &amp; Credit-Tech)</w:t>
            </w:r>
            <w:r>
              <w:rPr>
                <w:rFonts w:ascii="Calibri" w:hAnsi="Calibri"/>
                <w:b w:val="0"/>
                <w:i w:val="0"/>
                <w:color w:val="282C34"/>
                <w:sz w:val="18"/>
              </w:rPr>
              <w:t>: Transformar el acceso al crédito para los más de 5 millones de micronegocios en Colombia que sostienen la economía popular.</w:t>
            </w:r>
          </w:p>
        </w:tc>
      </w:tr>
    </w:tbl>
    <w:p>
      <w:pPr>
        <w:spacing w:before="0" w:after="80"/>
      </w:pPr>
    </w:p>
    <w:p>
      <w:pPr>
        <w:spacing w:before="120" w:after="120"/>
        <w:pBdr>
          <w:bottom w:val="single" w:sz="6" w:space="1" w:color="0B3C5D"/>
        </w:pBdr>
      </w:pPr>
    </w:p>
    <w:p>
      <w:pPr>
        <w:keepNext/>
        <w:spacing w:before="180" w:after="60"/>
      </w:pPr>
      <w:r>
        <w:rPr>
          <w:rFonts w:ascii="Calibri" w:hAnsi="Calibri"/>
          <w:b/>
          <w:i w:val="0"/>
          <w:color w:val="324B64"/>
          <w:sz w:val="24"/>
        </w:rPr>
        <w:t>Mini-Lienzo de Impulso del Mercado (Market Pull)</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4968"/>
        <w:gridCol w:w="4968"/>
      </w:tblGrid>
      <w:tr>
        <w:tc>
          <w:tcPr>
            <w:tcW w:type="dxa" w:w="4968"/>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1. QUÉ (Problema / Oportunidad)</w:t>
            </w:r>
          </w:p>
        </w:tc>
        <w:tc>
          <w:tcPr>
            <w:tcW w:type="dxa" w:w="4968"/>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2. URGENCIA</w:t>
            </w:r>
          </w:p>
        </w:tc>
      </w:tr>
      <w:tr>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Las Micro, Pequeñas y Medianas Empresas (MiPyMEs) y comercios independientes en Colombia son desatendidos por el sistema financiero formal porque los modelos tradicionales de scoring (FICO/bureau) requieren historial crediticio bancario formal e información tributaria estructurada que estos negocios no poseen. Esto deja a más del 65% de los micronegocios en manos del crédito informal usurero ("gota a gota"), limitando su crecimiento y generando pérdidas por billones a las entidades de crédito que no saben cómo evaluar este segmento sin incurrir en alto riesgo de mora.</w:t>
            </w:r>
          </w:p>
        </w:tc>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Tipo de Necesidad:</w:t>
            </w:r>
            <w:r>
              <w:rPr>
                <w:rFonts w:ascii="Calibri" w:hAnsi="Calibri"/>
                <w:b w:val="0"/>
                <w:i w:val="0"/>
                <w:color w:val="282C34"/>
                <w:sz w:val="18"/>
              </w:rPr>
              <w:t xml:space="preserve"> </w:t>
            </w:r>
            <w:r>
              <w:rPr>
                <w:rFonts w:ascii="Calibri" w:hAnsi="Calibri"/>
                <w:b/>
                <w:color w:val="282C34"/>
                <w:sz w:val="18"/>
              </w:rPr>
              <w:t>Analgésico (Resuelve un problema crítico)</w:t>
            </w:r>
            <w:r>
              <w:rPr>
                <w:rFonts w:ascii="Calibri" w:hAnsi="Calibri"/>
                <w:b w:val="0"/>
                <w:i w:val="0"/>
                <w:color w:val="282C34"/>
                <w:sz w:val="18"/>
              </w:rPr>
              <w:t xml:space="preserve"> y </w:t>
            </w:r>
            <w:r>
              <w:rPr>
                <w:rFonts w:ascii="Calibri" w:hAnsi="Calibri"/>
                <w:b/>
                <w:color w:val="282C34"/>
                <w:sz w:val="18"/>
              </w:rPr>
              <w:t>Cambiador de Juego (Abre un nuevo mercado desatendido)</w:t>
            </w:r>
            <w:r>
              <w:rPr>
                <w:rFonts w:ascii="Calibri" w:hAnsi="Calibri"/>
                <w:b w:val="0"/>
                <w:i w:val="0"/>
                <w:color w:val="282C34"/>
                <w:sz w:val="18"/>
              </w:rPr>
              <w:t>.</w:t>
            </w:r>
            <w:r>
              <w:br/>
            </w:r>
            <w:r>
              <w:br/>
            </w:r>
            <w:r>
              <w:rPr>
                <w:rFonts w:ascii="Calibri" w:hAnsi="Calibri"/>
                <w:b w:val="0"/>
                <w:i w:val="0"/>
                <w:color w:val="282C34"/>
                <w:sz w:val="18"/>
              </w:rPr>
              <w:t>Es crítico porque los micronegocios pagan tasas usureras de hasta 20%-40% mensual en el mercado informal, poniendo en riesgo su supervivencia diaria, mientras las Fintechs y bancos buscan desesperadamente nuevos segmentos de colocación con riesgo acotado.</w:t>
            </w:r>
          </w:p>
        </w:tc>
      </w:tr>
      <w:tr>
        <w:tc>
          <w:tcPr>
            <w:tcW w:type="dxa" w:w="4968"/>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3. POR QUÉ NOSOTROS</w:t>
            </w:r>
          </w:p>
        </w:tc>
        <w:tc>
          <w:tcPr>
            <w:tcW w:type="dxa" w:w="4968"/>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4. PASIÓN</w:t>
            </w:r>
          </w:p>
        </w:tc>
      </w:tr>
      <w:tr>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Contamos con la combinación de competencias exactas: dominio técnico en inferencia estadística avanzada para extraer señales de solvencia a partir de datos alternativos no estructurados (transacciones de pasarelas de pago, facturas electrónicas, patrones de compras con proveedores, reputación digital y flujos de caja en tiempo real), infraestructura cloud escalable y diseño UX enfocado en la explicabilidad algorítmica para cumplir regulaciones.</w:t>
            </w:r>
          </w:p>
        </w:tc>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Nos indigna profundamente la trampa de pobreza que representa el crédito informal extorsivo en Colombia. Creemos firmemente que la estadística y la ciencia de datos no deben ser solo para maximizar clics en redes sociales, sino para construir equidad económica y abrir oportunidades productivas a quienes mueven el país día a día.</w:t>
            </w:r>
          </w:p>
        </w:tc>
      </w:tr>
    </w:tbl>
    <w:p>
      <w:pPr>
        <w:spacing w:before="0" w:after="80"/>
      </w:pPr>
    </w:p>
    <w:p>
      <w:pPr>
        <w:spacing w:before="120" w:after="120"/>
        <w:pBdr>
          <w:bottom w:val="single" w:sz="6" w:space="1" w:color="0B3C5D"/>
        </w:pBdr>
      </w:pPr>
    </w:p>
    <w:p>
      <w:pPr>
        <w:keepNext/>
        <w:spacing w:before="180" w:after="60"/>
      </w:pPr>
      <w:r>
        <w:rPr>
          <w:rFonts w:ascii="Calibri" w:hAnsi="Calibri"/>
          <w:b/>
          <w:i w:val="0"/>
          <w:color w:val="324B64"/>
          <w:sz w:val="24"/>
        </w:rPr>
        <w:t>Mini-Lienzo de Empuje Tecnológico (Technology Push)</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4968"/>
        <w:gridCol w:w="4968"/>
      </w:tblGrid>
      <w:tr>
        <w:tc>
          <w:tcPr>
            <w:tcW w:type="dxa" w:w="4968"/>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1. QUÉ (Descripción de la Tecnología)</w:t>
            </w:r>
          </w:p>
        </w:tc>
        <w:tc>
          <w:tcPr>
            <w:tcW w:type="dxa" w:w="4968"/>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2. POR QUÉ NOSOTROS (Ventaja Competitiva)</w:t>
            </w:r>
          </w:p>
        </w:tc>
      </w:tr>
      <w:tr>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 xml:space="preserve">Motor algorítmico </w:t>
            </w:r>
            <w:r>
              <w:rPr>
                <w:rFonts w:ascii="Calibri" w:hAnsi="Calibri"/>
                <w:b/>
                <w:color w:val="282C34"/>
                <w:sz w:val="18"/>
              </w:rPr>
              <w:t>StatCredit Engine</w:t>
            </w:r>
            <w:r>
              <w:rPr>
                <w:rFonts w:ascii="Calibri" w:hAnsi="Calibri"/>
                <w:b w:val="0"/>
                <w:i w:val="0"/>
                <w:color w:val="282C34"/>
                <w:sz w:val="18"/>
              </w:rPr>
              <w:t xml:space="preserve">: Una arquitectura híbrida que combina modelos de </w:t>
            </w:r>
            <w:r>
              <w:rPr>
                <w:rFonts w:ascii="Calibri" w:hAnsi="Calibri"/>
                <w:b/>
                <w:color w:val="282C34"/>
                <w:sz w:val="18"/>
              </w:rPr>
              <w:t>Inferencia Bayesiana, Análisis de Supervivencia (Cox Proportional Hazards) y Causal Machine Learning (XGBoost + SHAP values)</w:t>
            </w:r>
            <w:r>
              <w:rPr>
                <w:rFonts w:ascii="Calibri" w:hAnsi="Calibri"/>
                <w:b w:val="0"/>
                <w:i w:val="0"/>
                <w:color w:val="282C34"/>
                <w:sz w:val="18"/>
              </w:rPr>
              <w:t xml:space="preserve"> para procesar flujos de datos transaccionales de alta frecuencia y datos alternativos no convencionales, generando un score predictivo de probabilidad de default con intervalos de credibilidad estadística y atribución causal exacta.</w:t>
            </w:r>
          </w:p>
        </w:tc>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Diseñamos modelos nativamente interpretables con mitigación de sesgos demográficos integrados, evitando la "caja negra" que los reguladores (SFC) rechazan y superando la fragilidad de los modelos de regresión logística tradicionales que fallan ante datos heterogéneos y dispersos.</w:t>
            </w:r>
          </w:p>
        </w:tc>
      </w:tr>
      <w:tr>
        <w:tc>
          <w:tcPr>
            <w:tcW w:type="dxa" w:w="4968"/>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3. SALTO HACIA ADELANTE (Comparado con la alternativa)</w:t>
            </w:r>
          </w:p>
        </w:tc>
        <w:tc>
          <w:tcPr>
            <w:tcW w:type="dxa" w:w="4968"/>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4. PASIÓN</w:t>
            </w:r>
          </w:p>
        </w:tc>
      </w:tr>
      <w:tr>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Mientras el scoring tradicional tarda días/semanas en evaluar extractos bancarios en PDF o rechaza de inmediato por "falta de experiencia crediticia", nuestro motor entrega una evaluación en menos de 400 milisegundos con una precisión de predicción (AUC-ROC &gt; 0.88 frente a 0.65 de los modelos convencionales), reduciendo la tasa de mora esperada en un 35% y duplicando la tasa de aprobación de solicitantes viables.</w:t>
            </w:r>
          </w:p>
        </w:tc>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Demostrar que el rigor estadístico y la ciencia de datos moderna pueden resolver problemas estructurales de inequidad que la banca tradicional consideraba "imposibles de resolver".</w:t>
            </w:r>
          </w:p>
        </w:tc>
      </w:tr>
    </w:tbl>
    <w:p>
      <w:pPr>
        <w:spacing w:before="0" w:after="80"/>
      </w:pPr>
    </w:p>
    <w:p>
      <w:pPr>
        <w:spacing w:before="120" w:after="120"/>
        <w:pBdr>
          <w:bottom w:val="single" w:sz="6" w:space="1" w:color="0B3C5D"/>
        </w:pBdr>
      </w:pPr>
    </w:p>
    <w:p>
      <w:pPr>
        <w:keepNext/>
        <w:spacing w:before="240" w:after="80"/>
      </w:pPr>
      <w:r>
        <w:rPr>
          <w:rFonts w:ascii="Calibri" w:hAnsi="Calibri"/>
          <w:b/>
          <w:i w:val="0"/>
          <w:color w:val="1D5D9B"/>
          <w:sz w:val="28"/>
        </w:rPr>
        <w:t>IDEA HÍBRIDA: MEZCLA DE IMPULSO DEL MERCADO Y EMPUJE TECNOLÓGICO</w:t>
      </w:r>
    </w:p>
    <w:p>
      <w:pPr>
        <w:keepNext/>
        <w:spacing w:before="180" w:after="60"/>
      </w:pPr>
      <w:r>
        <w:rPr>
          <w:rFonts w:ascii="Calibri" w:hAnsi="Calibri"/>
          <w:b/>
          <w:i w:val="0"/>
          <w:color w:val="324B64"/>
          <w:sz w:val="24"/>
        </w:rPr>
        <w:t>Mini-Lienzo Consolidado de Idea Híbrida</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4968"/>
        <w:gridCol w:w="4968"/>
      </w:tblGrid>
      <w:tr>
        <w:tc>
          <w:tcPr>
            <w:tcW w:type="dxa" w:w="4968"/>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Eje</w:t>
            </w:r>
          </w:p>
        </w:tc>
        <w:tc>
          <w:tcPr>
            <w:tcW w:type="dxa" w:w="4968"/>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Descripción Estratégica del Emprendimiento (</w:t>
            </w:r>
            <w:r>
              <w:rPr>
                <w:rFonts w:ascii="Calibri" w:hAnsi="Calibri"/>
                <w:i/>
                <w:color w:val="FFFFFF"/>
                <w:sz w:val="19"/>
              </w:rPr>
              <w:t>StatCredit AI</w:t>
            </w:r>
            <w:r>
              <w:rPr>
                <w:rFonts w:ascii="Calibri" w:hAnsi="Calibri"/>
                <w:b/>
                <w:i w:val="0"/>
                <w:color w:val="FFFFFF"/>
                <w:sz w:val="19"/>
              </w:rPr>
              <w:t>)</w:t>
            </w:r>
          </w:p>
        </w:tc>
      </w:tr>
      <w:tr>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1. IMPULSO DE MERCADO:</w:t>
            </w:r>
          </w:p>
        </w:tc>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 xml:space="preserve">Esta idea es altamente relevante para el mercado </w:t>
            </w:r>
            <w:r>
              <w:rPr>
                <w:rFonts w:ascii="Calibri" w:hAnsi="Calibri"/>
                <w:b/>
                <w:color w:val="282C34"/>
                <w:sz w:val="18"/>
              </w:rPr>
              <w:t>Fintech, Bancario, Cooperativo y de Microfinanzas en Colombia y América Latina</w:t>
            </w:r>
            <w:r>
              <w:rPr>
                <w:rFonts w:ascii="Calibri" w:hAnsi="Calibri"/>
                <w:b w:val="0"/>
                <w:i w:val="0"/>
                <w:color w:val="282C34"/>
                <w:sz w:val="18"/>
              </w:rPr>
              <w:t xml:space="preserve">, porque resolverá la asimetría de información que impide colocar crédito productivo a más de 5.4 millones de micronegocios. Producirá un valor significativo al </w:t>
            </w:r>
            <w:r>
              <w:rPr>
                <w:rFonts w:ascii="Calibri" w:hAnsi="Calibri"/>
                <w:b/>
                <w:color w:val="282C34"/>
                <w:sz w:val="18"/>
              </w:rPr>
              <w:t>incrementar en un 40% la cartera de clientes aprobados</w:t>
            </w:r>
            <w:r>
              <w:rPr>
                <w:rFonts w:ascii="Calibri" w:hAnsi="Calibri"/>
                <w:b w:val="0"/>
                <w:i w:val="0"/>
                <w:color w:val="282C34"/>
                <w:sz w:val="18"/>
              </w:rPr>
              <w:t xml:space="preserve"> de las entidades financieras sin elevar el riesgo de mora, erradicando al mismo tiempo la dependencia de los emprendedores en los sistemas de crédito informal extorsivo.</w:t>
            </w:r>
          </w:p>
        </w:tc>
      </w:tr>
      <w:tr>
        <w:tc>
          <w:tcPr>
            <w:tcW w:type="dxa" w:w="4968"/>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2. TECNOLOGÍA:</w:t>
            </w:r>
          </w:p>
        </w:tc>
        <w:tc>
          <w:tcPr>
            <w:tcW w:type="dxa" w:w="4968"/>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 xml:space="preserve">La tecnología habilitadora es un </w:t>
            </w:r>
            <w:r>
              <w:rPr>
                <w:rFonts w:ascii="Calibri" w:hAnsi="Calibri"/>
                <w:b/>
                <w:color w:val="282C34"/>
                <w:sz w:val="18"/>
              </w:rPr>
              <w:t>motor analítico modular SaaS API-First de Scoring Alternativo e Inferencia Causal</w:t>
            </w:r>
            <w:r>
              <w:rPr>
                <w:rFonts w:ascii="Calibri" w:hAnsi="Calibri"/>
                <w:b w:val="0"/>
                <w:i w:val="0"/>
                <w:color w:val="282C34"/>
                <w:sz w:val="18"/>
              </w:rPr>
              <w:t>, fundamentado en modelado estadístico bayesiano, análisis de supervivencia no paramétrico y técnicas de explicabilidad algorítmica (XAI) montado sobre una arquitectura cloud elástica en microservicios, capaz de ingerir y calificar datos transaccionales, de facturación electrónica y huella digital en milisegundos.</w:t>
            </w:r>
          </w:p>
        </w:tc>
      </w:tr>
      <w:tr>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3. POR QUÉ NOSOTROS:</w:t>
            </w:r>
          </w:p>
        </w:tc>
        <w:tc>
          <w:tcPr>
            <w:tcW w:type="dxa" w:w="4968"/>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 xml:space="preserve">El </w:t>
            </w:r>
            <w:r>
              <w:rPr>
                <w:rFonts w:ascii="Calibri" w:hAnsi="Calibri"/>
                <w:b/>
                <w:color w:val="282C34"/>
                <w:sz w:val="18"/>
              </w:rPr>
              <w:t>Grupo 5</w:t>
            </w:r>
            <w:r>
              <w:rPr>
                <w:rFonts w:ascii="Calibri" w:hAnsi="Calibri"/>
                <w:b w:val="0"/>
                <w:i w:val="0"/>
                <w:color w:val="282C34"/>
                <w:sz w:val="18"/>
              </w:rPr>
              <w:t xml:space="preserve"> reúne la sinergia interdisciplinaria perfecta: especialistas en ciencia de datos y modelado estadístico riguroso (Santiago y Julián D.), arquitectura cloud escalable y segura (Tomás), estrategia comercial y financiera B2B (Sebastián) y diseño de experiencia de usuario enfocado en explicabilidad analítica (Julián J.). Compartimos una visión ética y una profunda comprensión de la realidad socioeconómica del ecosistema empresarial colombiano.</w:t>
            </w:r>
          </w:p>
        </w:tc>
      </w:tr>
    </w:tbl>
    <w:p>
      <w:pPr>
        <w:spacing w:before="0" w:after="80"/>
      </w:pPr>
    </w:p>
    <w:p>
      <w:pPr>
        <w:spacing w:before="120" w:after="120"/>
        <w:pBdr>
          <w:bottom w:val="single" w:sz="6" w:space="1" w:color="0B3C5D"/>
        </w:pBdr>
      </w:pPr>
    </w:p>
    <w:p>
      <w:pPr>
        <w:keepNext/>
        <w:spacing w:before="280" w:after="120"/>
      </w:pPr>
      <w:r>
        <w:rPr>
          <w:rFonts w:ascii="Calibri" w:hAnsi="Calibri"/>
          <w:b/>
          <w:i w:val="0"/>
          <w:color w:val="0B3C5D"/>
          <w:sz w:val="36"/>
        </w:rPr>
        <w:t>Paso 1. Análisis de la Industria Seleccionada</w:t>
      </w:r>
    </w:p>
    <w:p>
      <w:pPr>
        <w:spacing w:before="40" w:after="60" w:line="276" w:lineRule="auto"/>
      </w:pPr>
      <w:r>
        <w:rPr>
          <w:rFonts w:ascii="Calibri" w:hAnsi="Calibri"/>
          <w:b/>
          <w:sz w:val="21"/>
        </w:rPr>
        <w:t>Industria Seleccionada:</w:t>
      </w:r>
      <w:r>
        <w:rPr>
          <w:rFonts w:ascii="Calibri" w:hAnsi="Calibri"/>
          <w:b w:val="0"/>
          <w:i w:val="0"/>
          <w:sz w:val="21"/>
        </w:rPr>
        <w:t xml:space="preserve"> Industria Fintech / Credit-Tech y Analítica de Datos para Servicios Financieros B2B en Colombia.</w:t>
      </w:r>
    </w:p>
    <w:p>
      <w:pPr>
        <w:keepNext/>
        <w:spacing w:before="180" w:after="60"/>
      </w:pPr>
      <w:r>
        <w:rPr>
          <w:rFonts w:ascii="Calibri" w:hAnsi="Calibri"/>
          <w:b/>
          <w:i w:val="0"/>
          <w:color w:val="324B64"/>
          <w:sz w:val="24"/>
        </w:rPr>
        <w:t>1a. Condiciones de los factores y Poder de negociación de los proveedores</w:t>
      </w:r>
    </w:p>
    <w:p>
      <w:pPr>
        <w:pStyle w:val="ListBullet"/>
        <w:spacing w:before="20" w:after="40"/>
        <w:ind w:left="360"/>
      </w:pPr>
      <w:r>
        <w:rPr>
          <w:rFonts w:ascii="Calibri" w:hAnsi="Calibri"/>
          <w:b/>
          <w:sz w:val="21"/>
        </w:rPr>
        <w:t>Fuentes de Datos y APIs Financieras:</w:t>
      </w:r>
      <w:r>
        <w:rPr>
          <w:rFonts w:ascii="Calibri" w:hAnsi="Calibri"/>
          <w:b w:val="0"/>
          <w:i w:val="0"/>
          <w:sz w:val="21"/>
        </w:rPr>
        <w:t xml:space="preserve"> Los proveedores de datos incluyen bureaus tradicionales (Datacrédito Experian, TransUnion), agregadores de Open Finance / Open Banking (Belvo, Prometeo), la DIAN (facturación electrónica) y pasarelas de pago (Wompi, Bold, PayU). Su poder de negociación es </w:t>
      </w:r>
      <w:r>
        <w:rPr>
          <w:rFonts w:ascii="Calibri" w:hAnsi="Calibri"/>
          <w:b/>
          <w:sz w:val="21"/>
        </w:rPr>
        <w:t>medio-alto</w:t>
      </w:r>
      <w:r>
        <w:rPr>
          <w:rFonts w:ascii="Calibri" w:hAnsi="Calibri"/>
          <w:b w:val="0"/>
          <w:i w:val="0"/>
          <w:sz w:val="21"/>
        </w:rPr>
        <w:t xml:space="preserve"> en datos tradicionales debido a su concentración, pero está decreciendo rápidamente por el avance del Open Finance regulado por la SFC (Decreto 1297 de 2022).</w:t>
      </w:r>
    </w:p>
    <w:p>
      <w:pPr>
        <w:pStyle w:val="ListBullet"/>
        <w:spacing w:before="20" w:after="40"/>
        <w:ind w:left="360"/>
      </w:pPr>
      <w:r>
        <w:rPr>
          <w:rFonts w:ascii="Calibri" w:hAnsi="Calibri"/>
          <w:b/>
          <w:sz w:val="21"/>
        </w:rPr>
        <w:t>Infraestructura Cloud:</w:t>
      </w:r>
      <w:r>
        <w:rPr>
          <w:rFonts w:ascii="Calibri" w:hAnsi="Calibri"/>
          <w:b w:val="0"/>
          <w:i w:val="0"/>
          <w:sz w:val="21"/>
        </w:rPr>
        <w:t xml:space="preserve"> Proveedores globales (AWS, Microsoft Azure, Google Cloud). Alto estándar técnico pero poder de negociación </w:t>
      </w:r>
      <w:r>
        <w:rPr>
          <w:rFonts w:ascii="Calibri" w:hAnsi="Calibri"/>
          <w:b/>
          <w:sz w:val="21"/>
        </w:rPr>
        <w:t>medio</w:t>
      </w:r>
      <w:r>
        <w:rPr>
          <w:rFonts w:ascii="Calibri" w:hAnsi="Calibri"/>
          <w:b w:val="0"/>
          <w:i w:val="0"/>
          <w:sz w:val="21"/>
        </w:rPr>
        <w:t xml:space="preserve"> debido a la alta competencia entre nubes y créditos para startups.</w:t>
      </w:r>
    </w:p>
    <w:p>
      <w:pPr>
        <w:pStyle w:val="ListBullet"/>
        <w:spacing w:before="20" w:after="40"/>
        <w:ind w:left="360"/>
      </w:pPr>
      <w:r>
        <w:rPr>
          <w:rFonts w:ascii="Calibri" w:hAnsi="Calibri"/>
          <w:b/>
          <w:sz w:val="21"/>
        </w:rPr>
        <w:t>Talento Humano Especializado:</w:t>
      </w:r>
      <w:r>
        <w:rPr>
          <w:rFonts w:ascii="Calibri" w:hAnsi="Calibri"/>
          <w:b w:val="0"/>
          <w:i w:val="0"/>
          <w:sz w:val="21"/>
        </w:rPr>
        <w:t xml:space="preserve"> Escasez relativa de perfiles híbridos que dominen tanto la inferencia estadística rigurosa como la ingeniería de software y el sector financiero, lo que otorga a los desarrolladores y científicos de datos un poder de negociación </w:t>
      </w:r>
      <w:r>
        <w:rPr>
          <w:rFonts w:ascii="Calibri" w:hAnsi="Calibri"/>
          <w:b/>
          <w:sz w:val="21"/>
        </w:rPr>
        <w:t>alto</w:t>
      </w:r>
      <w:r>
        <w:rPr>
          <w:rFonts w:ascii="Calibri" w:hAnsi="Calibri"/>
          <w:b w:val="0"/>
          <w:i w:val="0"/>
          <w:sz w:val="21"/>
        </w:rPr>
        <w:t>.</w:t>
      </w:r>
    </w:p>
    <w:p>
      <w:pPr>
        <w:keepNext/>
        <w:spacing w:before="180" w:after="60"/>
      </w:pPr>
      <w:r>
        <w:rPr>
          <w:rFonts w:ascii="Calibri" w:hAnsi="Calibri"/>
          <w:b/>
          <w:i w:val="0"/>
          <w:color w:val="324B64"/>
          <w:sz w:val="24"/>
        </w:rPr>
        <w:t>1b. Condiciones de la demanda y poder de negociación de los clientes</w:t>
      </w:r>
    </w:p>
    <w:p>
      <w:pPr>
        <w:pStyle w:val="ListBullet"/>
        <w:spacing w:before="20" w:after="40"/>
        <w:ind w:left="360"/>
      </w:pPr>
      <w:r>
        <w:rPr>
          <w:rFonts w:ascii="Calibri" w:hAnsi="Calibri"/>
          <w:b/>
          <w:sz w:val="21"/>
        </w:rPr>
        <w:t>Clientes Directos (B2B):</w:t>
      </w:r>
      <w:r>
        <w:rPr>
          <w:rFonts w:ascii="Calibri" w:hAnsi="Calibri"/>
          <w:b w:val="0"/>
          <w:i w:val="0"/>
          <w:sz w:val="21"/>
        </w:rPr>
        <w:t xml:space="preserve"> Neobancos (Nu, Lulo Bank), Fintechs de crédito (Addi, Kredito, Sempli, Monet), Bancos tradicionales con divisiones de microfinanzas (Bancolombia/Nequi, Davivienda/Daviplata, Banco Agrario, Bancamía, Banco Mundo Mujer) y Cooperativas de Ahorro y Crédito.</w:t>
      </w:r>
    </w:p>
    <w:p>
      <w:pPr>
        <w:pStyle w:val="ListBullet"/>
        <w:spacing w:before="20" w:after="40"/>
        <w:ind w:left="360"/>
      </w:pPr>
      <w:r>
        <w:rPr>
          <w:rFonts w:ascii="Calibri" w:hAnsi="Calibri"/>
          <w:b/>
          <w:sz w:val="21"/>
        </w:rPr>
        <w:t>Fricciones y Necesidades No Satisfechas:</w:t>
      </w:r>
      <w:r>
        <w:rPr>
          <w:rFonts w:ascii="Calibri" w:hAnsi="Calibri"/>
          <w:b w:val="0"/>
          <w:i w:val="0"/>
          <w:sz w:val="21"/>
        </w:rPr>
        <w:t xml:space="preserve"> Enfrentan altos costos de originación, procesos manuales lentos, tasas de rechazo de hasta el 70% en solicitantes primerizos y dificultad para cumplir las directrices de la SFC sobre provisiones y riesgo de crédito (SARC).</w:t>
      </w:r>
    </w:p>
    <w:p>
      <w:pPr>
        <w:pStyle w:val="ListBullet"/>
        <w:spacing w:before="20" w:after="40"/>
        <w:ind w:left="360"/>
      </w:pPr>
      <w:r>
        <w:rPr>
          <w:rFonts w:ascii="Calibri" w:hAnsi="Calibri"/>
          <w:b/>
          <w:sz w:val="21"/>
        </w:rPr>
        <w:t>Poder de Negociación:</w:t>
      </w:r>
      <w:r>
        <w:rPr>
          <w:rFonts w:ascii="Calibri" w:hAnsi="Calibri"/>
          <w:b w:val="0"/>
          <w:i w:val="0"/>
          <w:sz w:val="21"/>
        </w:rPr>
        <w:t xml:space="preserve"> </w:t>
      </w:r>
      <w:r>
        <w:rPr>
          <w:rFonts w:ascii="Calibri" w:hAnsi="Calibri"/>
          <w:b/>
          <w:sz w:val="21"/>
        </w:rPr>
        <w:t>Medio</w:t>
      </w:r>
      <w:r>
        <w:rPr>
          <w:rFonts w:ascii="Calibri" w:hAnsi="Calibri"/>
          <w:b w:val="0"/>
          <w:i w:val="0"/>
          <w:sz w:val="21"/>
        </w:rPr>
        <w:t>. Aunque los grandes bancos tienen poder de escala, la presión competitiva de las Fintechs los obliga a adquirir soluciones de scoring innovadoras y rápidas de integrar.</w:t>
      </w:r>
    </w:p>
    <w:p>
      <w:pPr>
        <w:pStyle w:val="ListBullet"/>
        <w:spacing w:before="20" w:after="40"/>
        <w:ind w:left="360"/>
      </w:pPr>
      <w:r>
        <w:rPr>
          <w:rFonts w:ascii="Calibri" w:hAnsi="Calibri"/>
          <w:b/>
          <w:sz w:val="21"/>
        </w:rPr>
        <w:t>Usuario Final Indirecto (B2B2C / MiPyMEs):</w:t>
      </w:r>
      <w:r>
        <w:rPr>
          <w:rFonts w:ascii="Calibri" w:hAnsi="Calibri"/>
          <w:b w:val="0"/>
          <w:i w:val="0"/>
          <w:sz w:val="21"/>
        </w:rPr>
        <w:t xml:space="preserve"> Micronegocios y trabajadores independientes con poder de negociación atomizado pero con una demanda elástica y urgente de financiamiento rápido, transparente y no usurero.</w:t>
      </w:r>
    </w:p>
    <w:p>
      <w:pPr>
        <w:keepNext/>
        <w:spacing w:before="180" w:after="60"/>
      </w:pPr>
      <w:r>
        <w:rPr>
          <w:rFonts w:ascii="Calibri" w:hAnsi="Calibri"/>
          <w:b/>
          <w:i w:val="0"/>
          <w:color w:val="324B64"/>
          <w:sz w:val="24"/>
        </w:rPr>
        <w:t>1c. Industrias relacionadas, de apoyo y amenaza de productos o servicios sustitutivos</w:t>
      </w:r>
    </w:p>
    <w:p>
      <w:pPr>
        <w:pStyle w:val="ListBullet"/>
        <w:spacing w:before="20" w:after="40"/>
        <w:ind w:left="360"/>
      </w:pPr>
      <w:r>
        <w:rPr>
          <w:rFonts w:ascii="Calibri" w:hAnsi="Calibri"/>
          <w:b/>
          <w:sz w:val="21"/>
        </w:rPr>
        <w:t>Industrias de Apoyo:</w:t>
      </w:r>
      <w:r>
        <w:rPr>
          <w:rFonts w:ascii="Calibri" w:hAnsi="Calibri"/>
          <w:b w:val="0"/>
          <w:i w:val="0"/>
          <w:sz w:val="21"/>
        </w:rPr>
        <w:t xml:space="preserve"> Ecosistema de pasarelas de pago, software contable en la nube (Siigo, Alegra), gremios como </w:t>
      </w:r>
      <w:r>
        <w:rPr>
          <w:rFonts w:ascii="Calibri" w:hAnsi="Calibri"/>
          <w:i/>
          <w:sz w:val="21"/>
        </w:rPr>
        <w:t>Colombia Fintech</w:t>
      </w:r>
      <w:r>
        <w:rPr>
          <w:rFonts w:ascii="Calibri" w:hAnsi="Calibri"/>
          <w:b w:val="0"/>
          <w:i w:val="0"/>
          <w:sz w:val="21"/>
        </w:rPr>
        <w:t xml:space="preserve"> y la </w:t>
      </w:r>
      <w:r>
        <w:rPr>
          <w:rFonts w:ascii="Calibri" w:hAnsi="Calibri"/>
          <w:i/>
          <w:sz w:val="21"/>
        </w:rPr>
        <w:t>ANDI</w:t>
      </w:r>
      <w:r>
        <w:rPr>
          <w:rFonts w:ascii="Calibri" w:hAnsi="Calibri"/>
          <w:b w:val="0"/>
          <w:i w:val="0"/>
          <w:sz w:val="21"/>
        </w:rPr>
        <w:t>, y aceleradoras de negocios.</w:t>
      </w:r>
    </w:p>
    <w:p>
      <w:pPr>
        <w:pStyle w:val="ListBullet"/>
        <w:spacing w:before="20" w:after="40"/>
        <w:ind w:left="360"/>
      </w:pPr>
      <w:r>
        <w:rPr>
          <w:rFonts w:ascii="Calibri" w:hAnsi="Calibri"/>
          <w:b/>
          <w:sz w:val="21"/>
        </w:rPr>
        <w:t>Productos Sustitutivos:</w:t>
      </w:r>
    </w:p>
    <w:p>
      <w:pPr>
        <w:spacing w:before="20" w:after="40"/>
        <w:ind w:left="360"/>
      </w:pPr>
      <w:r>
        <w:rPr>
          <w:rFonts w:ascii="Calibri" w:hAnsi="Calibri"/>
          <w:b/>
          <w:color w:val="0B3C5D"/>
          <w:sz w:val="21"/>
        </w:rPr>
        <w:t xml:space="preserve">1. </w:t>
      </w:r>
      <w:r>
        <w:rPr>
          <w:rFonts w:ascii="Calibri" w:hAnsi="Calibri"/>
          <w:i/>
          <w:sz w:val="21"/>
        </w:rPr>
        <w:t>Modelos In-House:</w:t>
      </w:r>
      <w:r>
        <w:rPr>
          <w:rFonts w:ascii="Calibri" w:hAnsi="Calibri"/>
          <w:b w:val="0"/>
          <w:i w:val="0"/>
          <w:sz w:val="21"/>
        </w:rPr>
        <w:t xml:space="preserve"> Equipos internos de riesgo de bancos tradicionales que usan regresiones logísticas simples (lentos para evolucionar e intensivos en costo fijo).</w:t>
      </w:r>
    </w:p>
    <w:p>
      <w:pPr>
        <w:spacing w:before="20" w:after="40"/>
        <w:ind w:left="360"/>
      </w:pPr>
      <w:r>
        <w:rPr>
          <w:rFonts w:ascii="Calibri" w:hAnsi="Calibri"/>
          <w:b/>
          <w:color w:val="0B3C5D"/>
          <w:sz w:val="21"/>
        </w:rPr>
        <w:t xml:space="preserve">2. </w:t>
      </w:r>
      <w:r>
        <w:rPr>
          <w:rFonts w:ascii="Calibri" w:hAnsi="Calibri"/>
          <w:i/>
          <w:sz w:val="21"/>
        </w:rPr>
        <w:t>Scoring Tradicional (Datacrédito/TransUnion):</w:t>
      </w:r>
      <w:r>
        <w:rPr>
          <w:rFonts w:ascii="Calibri" w:hAnsi="Calibri"/>
          <w:b w:val="0"/>
          <w:i w:val="0"/>
          <w:sz w:val="21"/>
        </w:rPr>
        <w:t xml:space="preserve"> Consultas a bases de datos de historial pasado (ciegos ante usuarios no bancarizados o informales).</w:t>
      </w:r>
    </w:p>
    <w:p>
      <w:pPr>
        <w:spacing w:before="20" w:after="40"/>
        <w:ind w:left="360"/>
      </w:pPr>
      <w:r>
        <w:rPr>
          <w:rFonts w:ascii="Calibri" w:hAnsi="Calibri"/>
          <w:b/>
          <w:color w:val="0B3C5D"/>
          <w:sz w:val="21"/>
        </w:rPr>
        <w:t xml:space="preserve">3. </w:t>
      </w:r>
      <w:r>
        <w:rPr>
          <w:rFonts w:ascii="Calibri" w:hAnsi="Calibri"/>
          <w:i/>
          <w:sz w:val="21"/>
        </w:rPr>
        <w:t>Comités Manuales de Crédito:</w:t>
      </w:r>
      <w:r>
        <w:rPr>
          <w:rFonts w:ascii="Calibri" w:hAnsi="Calibri"/>
          <w:b w:val="0"/>
          <w:i w:val="0"/>
          <w:sz w:val="21"/>
        </w:rPr>
        <w:t xml:space="preserve"> Evaluación presencial de inventarios y visitas físicas (altamente costosos e inescalables).</w:t>
      </w:r>
    </w:p>
    <w:p>
      <w:pPr>
        <w:spacing w:before="20" w:after="40"/>
        <w:ind w:left="360"/>
      </w:pPr>
      <w:r>
        <w:rPr>
          <w:rFonts w:ascii="Calibri" w:hAnsi="Calibri"/>
          <w:b/>
          <w:color w:val="0B3C5D"/>
          <w:sz w:val="21"/>
        </w:rPr>
        <w:t xml:space="preserve">4. </w:t>
      </w:r>
      <w:r>
        <w:rPr>
          <w:rFonts w:ascii="Calibri" w:hAnsi="Calibri"/>
          <w:i/>
          <w:sz w:val="21"/>
        </w:rPr>
        <w:t>Mercado de Crédito Informal ("Gota a Gota"):</w:t>
      </w:r>
      <w:r>
        <w:rPr>
          <w:rFonts w:ascii="Calibri" w:hAnsi="Calibri"/>
          <w:b w:val="0"/>
          <w:i w:val="0"/>
          <w:sz w:val="21"/>
        </w:rPr>
        <w:t xml:space="preserve"> Sustituto informal de desembolso inmediato pero ruinoso para el comerciante.</w:t>
      </w:r>
    </w:p>
    <w:p>
      <w:pPr>
        <w:pStyle w:val="ListBullet"/>
        <w:spacing w:before="20" w:after="40"/>
        <w:ind w:left="360"/>
      </w:pPr>
      <w:r>
        <w:rPr>
          <w:rFonts w:ascii="Calibri" w:hAnsi="Calibri"/>
          <w:b/>
          <w:sz w:val="21"/>
        </w:rPr>
        <w:t>Nivel de Amenaza de Sustitutos:</w:t>
      </w:r>
      <w:r>
        <w:rPr>
          <w:rFonts w:ascii="Calibri" w:hAnsi="Calibri"/>
          <w:b w:val="0"/>
          <w:i w:val="0"/>
          <w:sz w:val="21"/>
        </w:rPr>
        <w:t xml:space="preserve"> </w:t>
      </w:r>
      <w:r>
        <w:rPr>
          <w:rFonts w:ascii="Calibri" w:hAnsi="Calibri"/>
          <w:b/>
          <w:sz w:val="21"/>
        </w:rPr>
        <w:t>Medio-Bajo</w:t>
      </w:r>
      <w:r>
        <w:rPr>
          <w:rFonts w:ascii="Calibri" w:hAnsi="Calibri"/>
          <w:b w:val="0"/>
          <w:i w:val="0"/>
          <w:sz w:val="21"/>
        </w:rPr>
        <w:t xml:space="preserve"> para soluciones verdaderamente automatizadas basadas en datos alternativos, dado que los sustitutos tradicionales no resuelven la velocidad ni la cobertura.</w:t>
      </w:r>
    </w:p>
    <w:p>
      <w:pPr>
        <w:keepNext/>
        <w:spacing w:before="180" w:after="60"/>
      </w:pPr>
      <w:r>
        <w:rPr>
          <w:rFonts w:ascii="Calibri" w:hAnsi="Calibri"/>
          <w:b/>
          <w:i w:val="0"/>
          <w:color w:val="324B64"/>
          <w:sz w:val="24"/>
        </w:rPr>
        <w:t>1d. Estrategia, estructura y rivalidad (Competencia)</w:t>
      </w:r>
    </w:p>
    <w:p>
      <w:pPr>
        <w:spacing w:before="40" w:after="60" w:line="276" w:lineRule="auto"/>
      </w:pPr>
      <w:r>
        <w:rPr>
          <w:rFonts w:ascii="Calibri" w:hAnsi="Calibri"/>
          <w:b w:val="0"/>
          <w:i w:val="0"/>
          <w:sz w:val="21"/>
        </w:rPr>
        <w:t xml:space="preserve">El nivel de rivalidad en la industria analítica financiera en Colombia es </w:t>
      </w:r>
      <w:r>
        <w:rPr>
          <w:rFonts w:ascii="Calibri" w:hAnsi="Calibri"/>
          <w:b/>
          <w:sz w:val="21"/>
        </w:rPr>
        <w:t>medio-alto</w:t>
      </w:r>
      <w:r>
        <w:rPr>
          <w:rFonts w:ascii="Calibri" w:hAnsi="Calibri"/>
          <w:b w:val="0"/>
          <w:i w:val="0"/>
          <w:sz w:val="21"/>
        </w:rPr>
        <w:t>, pero con una marcada polarización: por un lado, gigantes del scoring tradicional basados únicamente en deuda histórica; por el otro, Fintechs que desarrollan modelos propietarios cerrados para sus propios balances sin ofrecerlos como infraestructura SaaS abierta a terceros.</w:t>
      </w:r>
    </w:p>
    <w:p>
      <w:pPr>
        <w:keepNext/>
        <w:spacing w:before="140" w:after="40"/>
      </w:pPr>
      <w:r>
        <w:rPr>
          <w:rFonts w:ascii="Calibri" w:hAnsi="Calibri"/>
          <w:b/>
          <w:i w:val="0"/>
          <w:color w:val="465A6E"/>
          <w:sz w:val="22"/>
        </w:rPr>
        <w:t>Matriz de Análisis de Competidores</w:t>
      </w:r>
    </w:p>
    <w:tbl>
      <w:tblPr>
        <w:tblW w:type="auto" w:w="0"/>
        <w:jc w:val="center"/>
        <w:tblLook w:firstColumn="1" w:firstRow="1" w:lastColumn="0" w:lastRow="0" w:noHBand="0" w:noVBand="1" w:val="04A0"/>
        <w:tblBorders>
          <w:top w:val="single" w:sz="4" w:space="0" w:color="C0C8D0"/>
          <w:left w:val="none"/>
          <w:bottom w:val="single" w:sz="4" w:space="0" w:color="C0C8D0"/>
          <w:right w:val="none"/>
          <w:insideH w:val="single" w:sz="4" w:space="0" w:color="C0C8D0"/>
          <w:insideV w:val="none"/>
        </w:tblBorders>
      </w:tblPr>
      <w:tblGrid>
        <w:gridCol w:w="1242"/>
        <w:gridCol w:w="1242"/>
        <w:gridCol w:w="1242"/>
        <w:gridCol w:w="1242"/>
        <w:gridCol w:w="1242"/>
        <w:gridCol w:w="1242"/>
        <w:gridCol w:w="1242"/>
        <w:gridCol w:w="1242"/>
      </w:tblGrid>
      <w:tr>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Competidor</w:t>
            </w:r>
          </w:p>
        </w:tc>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Actividad Comercial</w:t>
            </w:r>
          </w:p>
        </w:tc>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Problema que Resuelven</w:t>
            </w:r>
          </w:p>
        </w:tc>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Principal Producto</w:t>
            </w:r>
          </w:p>
        </w:tc>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Ciudades / Países de Operación</w:t>
            </w:r>
          </w:p>
        </w:tc>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Ventas Anuales / Capitalización Estimada</w:t>
            </w:r>
          </w:p>
        </w:tc>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Parecidos con Nosotros</w:t>
            </w:r>
          </w:p>
        </w:tc>
        <w:tc>
          <w:tcPr>
            <w:tcW w:type="dxa" w:w="1242"/>
            <w:vAlign w:val="center"/>
            <w:tcMar>
              <w:top w:w="100" w:type="dxa"/>
              <w:bottom w:w="100" w:type="dxa"/>
              <w:left w:w="120" w:type="dxa"/>
              <w:right w:w="120" w:type="dxa"/>
            </w:tcMar>
            <w:shd w:fill="0B3C5D"/>
          </w:tcPr>
          <w:p>
            <w:pPr>
              <w:spacing w:before="40" w:after="40" w:line="252" w:lineRule="auto"/>
            </w:pPr>
            <w:r>
              <w:rPr>
                <w:rFonts w:ascii="Calibri" w:hAnsi="Calibri"/>
                <w:b/>
                <w:i w:val="0"/>
                <w:color w:val="FFFFFF"/>
                <w:sz w:val="19"/>
              </w:rPr>
              <w:t xml:space="preserve">Diferencias Clave con </w:t>
            </w:r>
            <w:r>
              <w:rPr>
                <w:rFonts w:ascii="Calibri" w:hAnsi="Calibri"/>
                <w:i/>
                <w:color w:val="FFFFFF"/>
                <w:sz w:val="19"/>
              </w:rPr>
              <w:t>StatCredit AI</w:t>
            </w:r>
          </w:p>
        </w:tc>
      </w:tr>
      <w:tr>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1. Experian (Datacrédito)</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Buró de información crediticia y central de riesgo tradicional.</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Consolidación y reporte de historial crediticio de obligaciones financieras previas.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i/>
                <w:color w:val="282C34"/>
                <w:sz w:val="18"/>
              </w:rPr>
              <w:t>Historia de Crédito &amp; Score Datacrédito</w:t>
            </w:r>
            <w:r>
              <w:rPr>
                <w:rFonts w:ascii="Calibri" w:hAnsi="Calibri"/>
                <w:b w:val="0"/>
                <w:i w:val="0"/>
                <w:color w:val="282C34"/>
                <w:sz w:val="18"/>
              </w:rPr>
              <w:t>.</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Todo Colombia; presencia global en &gt;40 países.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Facturación superior a USD $100M anuales en la región andina.</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Evalúa riesgo crediticio y asigna una calificación numérica a personas y empresas.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Depende 100% de antecedentes bancarios formales pasados; no procesa datos alternativos transaccionales en tiempo real para micronegocios no bancarizados.</w:t>
            </w:r>
          </w:p>
        </w:tc>
      </w:tr>
      <w:tr>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2. TransUnion Colombia (CIFIN)</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Central de riesgo, analítica de fraude y prevención de lavado de activos.</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Evaluación de riesgo crediticio tradicional y autenticación de identidad.</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i/>
                <w:color w:val="282C34"/>
                <w:sz w:val="18"/>
              </w:rPr>
              <w:t>CreditVision &amp; Score Financiero TransUnion</w:t>
            </w:r>
            <w:r>
              <w:rPr>
                <w:rFonts w:ascii="Calibri" w:hAnsi="Calibri"/>
                <w:b w:val="0"/>
                <w:i w:val="0"/>
                <w:color w:val="282C34"/>
                <w:sz w:val="18"/>
              </w:rPr>
              <w:t>.</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Colombia, LatAm, USA y presencia global en &gt;30 países.</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Facturación superior a USD $75M anuales en la región.</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Provee métricas de riesgo para aprobación de crédito B2B a entidades vigiladas.</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Modelos basados en series de tiempo de deuda financiera formal; escasa explicabilidad causal y baja penetración en la economía informal.</w:t>
            </w:r>
          </w:p>
        </w:tc>
      </w:tr>
      <w:tr>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3. Belvo</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Plataforma de APIs de Open Finance y agregación de datos bancarios y fiscales.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Conectividad e interoperabilidad entre cuentas bancarias, tributarias (DIAN) y Fintechs.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i/>
                <w:color w:val="282C34"/>
                <w:sz w:val="18"/>
              </w:rPr>
              <w:t>Belvo Data &amp; Enrichment API</w:t>
            </w:r>
            <w:r>
              <w:rPr>
                <w:rFonts w:ascii="Calibri" w:hAnsi="Calibri"/>
                <w:b w:val="0"/>
                <w:i w:val="0"/>
                <w:color w:val="282C34"/>
                <w:sz w:val="18"/>
              </w:rPr>
              <w:t>.</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Colombia, México, Brasil.</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Levantamiento de capital &gt; USD $43M (Serie A/B).</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Utiliza datos transaccionales y fiscales para enriquecer perfiles de usuarios.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Es un proveedor de infraestructura de extracción y categorización de datos (</w:t>
            </w:r>
            <w:r>
              <w:rPr>
                <w:rFonts w:ascii="Calibri" w:hAnsi="Calibri"/>
                <w:i/>
                <w:color w:val="282C34"/>
                <w:sz w:val="18"/>
              </w:rPr>
              <w:t>data pipeline</w:t>
            </w:r>
            <w:r>
              <w:rPr>
                <w:rFonts w:ascii="Calibri" w:hAnsi="Calibri"/>
                <w:b w:val="0"/>
                <w:i w:val="0"/>
                <w:color w:val="282C34"/>
                <w:sz w:val="18"/>
              </w:rPr>
              <w:t>), pero no ofrece un motor de inferencia causal ni scoring predictivo final para decisión de crédito.</w:t>
            </w:r>
          </w:p>
        </w:tc>
      </w:tr>
      <w:tr>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color w:val="282C34"/>
                <w:sz w:val="18"/>
              </w:rPr>
              <w:t>4. Sempli</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Neobanco y Fintech prestamista directa para pequeñas y medianas empresas.</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Falta de liquidez y créditos de capital de trabajo para PyMEs formales.</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i/>
                <w:color w:val="282C34"/>
                <w:sz w:val="18"/>
              </w:rPr>
              <w:t>Crédito Digital PyME &amp; Tarjeta de Crédito Empresarial</w:t>
            </w:r>
            <w:r>
              <w:rPr>
                <w:rFonts w:ascii="Calibri" w:hAnsi="Calibri"/>
                <w:b w:val="0"/>
                <w:i w:val="0"/>
                <w:color w:val="282C34"/>
                <w:sz w:val="18"/>
              </w:rPr>
              <w:t>.</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Colombia (Bogotá, Medellín, Cali, Barranquilla).</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Cartera originada superior a COP $300.000 millones; capital levantado &gt; USD $25M.</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Utiliza analítica digital para evaluar empresas de forma más ágil que la banca tradicional.</w:t>
            </w:r>
          </w:p>
        </w:tc>
        <w:tc>
          <w:tcPr>
            <w:tcW w:type="dxa" w:w="1242"/>
            <w:vAlign w:val="center"/>
            <w:tcMar>
              <w:top w:w="100" w:type="dxa"/>
              <w:bottom w:w="100" w:type="dxa"/>
              <w:left w:w="120" w:type="dxa"/>
              <w:right w:w="120" w:type="dxa"/>
            </w:tcMar>
            <w:shd w:fill="F7F9FB"/>
          </w:tcPr>
          <w:p>
            <w:pPr>
              <w:spacing w:before="40" w:after="40" w:line="252" w:lineRule="auto"/>
            </w:pPr>
            <w:r>
              <w:rPr>
                <w:rFonts w:ascii="Calibri" w:hAnsi="Calibri"/>
                <w:b w:val="0"/>
                <w:i w:val="0"/>
                <w:color w:val="282C34"/>
                <w:sz w:val="18"/>
              </w:rPr>
              <w:t>Es un prestamista directo (asume el riesgo de balance y compite con los bancos); nuestro modelo es B2B SaaS (habilitamos a bancos y Fintechs con nuestra tecnología sin prestar directamente).</w:t>
            </w:r>
          </w:p>
        </w:tc>
      </w:tr>
      <w:tr>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color w:val="282C34"/>
                <w:sz w:val="18"/>
              </w:rPr>
              <w:t>5. Addi</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Plataforma de pagos Buy-Now-Pay-Later (BNPL) y crédito de consumo.</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Fricción y falta de crédito en el punto de venta para consumidores y comercios.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i/>
                <w:color w:val="282C34"/>
                <w:sz w:val="18"/>
              </w:rPr>
              <w:t>Addi BNPL &amp; Cupo de Crédito Digital</w:t>
            </w:r>
            <w:r>
              <w:rPr>
                <w:rFonts w:ascii="Calibri" w:hAnsi="Calibri"/>
                <w:b w:val="0"/>
                <w:i w:val="0"/>
                <w:color w:val="282C34"/>
                <w:sz w:val="18"/>
              </w:rPr>
              <w:t>.</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Colombia, México.</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Valuación &gt; USD $500M; originaciones anuales superiores a USD $300M.</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Aplica Machine Learning para aprobación de crédito en menos de 2 minutos con datos mínimos.</w:t>
            </w:r>
          </w:p>
        </w:tc>
        <w:tc>
          <w:tcPr>
            <w:tcW w:type="dxa" w:w="1242"/>
            <w:vAlign w:val="center"/>
            <w:tcMar>
              <w:top w:w="100" w:type="dxa"/>
              <w:bottom w:w="100" w:type="dxa"/>
              <w:left w:w="120" w:type="dxa"/>
              <w:right w:w="120" w:type="dxa"/>
            </w:tcMar>
            <w:shd w:fill="FFFFFF"/>
          </w:tcPr>
          <w:p>
            <w:pPr>
              <w:spacing w:before="40" w:after="40" w:line="252" w:lineRule="auto"/>
            </w:pPr>
            <w:r>
              <w:rPr>
                <w:rFonts w:ascii="Calibri" w:hAnsi="Calibri"/>
                <w:b w:val="0"/>
                <w:i w:val="0"/>
                <w:color w:val="282C34"/>
                <w:sz w:val="18"/>
              </w:rPr>
              <w:t>Su foco es el crédito de consumo retail B2C; no evalúa riesgo de crédito productivo B2B para la cadena de suministro de microempresas y PyMEs.</w:t>
            </w:r>
          </w:p>
        </w:tc>
      </w:tr>
    </w:tbl>
    <w:p>
      <w:pPr>
        <w:spacing w:before="0" w:after="80"/>
      </w:pPr>
    </w:p>
    <w:p>
      <w:pPr>
        <w:keepNext/>
        <w:spacing w:before="180" w:after="60"/>
      </w:pPr>
      <w:r>
        <w:rPr>
          <w:rFonts w:ascii="Calibri" w:hAnsi="Calibri"/>
          <w:b/>
          <w:i w:val="0"/>
          <w:color w:val="324B64"/>
          <w:sz w:val="24"/>
        </w:rPr>
        <w:t>1e. Tamaño de la Industria</w:t>
      </w:r>
    </w:p>
    <w:p>
      <w:pPr>
        <w:spacing w:before="40" w:after="60" w:line="276" w:lineRule="auto"/>
      </w:pPr>
      <w:r>
        <w:rPr>
          <w:rFonts w:ascii="Calibri" w:hAnsi="Calibri"/>
          <w:b w:val="0"/>
          <w:i w:val="0"/>
          <w:sz w:val="21"/>
        </w:rPr>
        <w:t xml:space="preserve">Para dimensionar el mercado se utilizaron cifras oficiales del </w:t>
      </w:r>
      <w:r>
        <w:rPr>
          <w:rFonts w:ascii="Calibri" w:hAnsi="Calibri"/>
          <w:b/>
          <w:sz w:val="21"/>
        </w:rPr>
        <w:t>DANE (Encuesta de Micronegocios - EMICRON)</w:t>
      </w:r>
      <w:r>
        <w:rPr>
          <w:rFonts w:ascii="Calibri" w:hAnsi="Calibri"/>
          <w:b w:val="0"/>
          <w:i w:val="0"/>
          <w:sz w:val="21"/>
        </w:rPr>
        <w:t xml:space="preserve">, reportes de la </w:t>
      </w:r>
      <w:r>
        <w:rPr>
          <w:rFonts w:ascii="Calibri" w:hAnsi="Calibri"/>
          <w:b/>
          <w:sz w:val="21"/>
        </w:rPr>
        <w:t>Superintendencia Financiera de Colombia (SFC)</w:t>
      </w:r>
      <w:r>
        <w:rPr>
          <w:rFonts w:ascii="Calibri" w:hAnsi="Calibri"/>
          <w:b w:val="0"/>
          <w:i w:val="0"/>
          <w:sz w:val="21"/>
        </w:rPr>
        <w:t xml:space="preserve"> y el informe anual de </w:t>
      </w:r>
      <w:r>
        <w:rPr>
          <w:rFonts w:ascii="Calibri" w:hAnsi="Calibri"/>
          <w:b/>
          <w:sz w:val="21"/>
        </w:rPr>
        <w:t>Colombia Fintech</w:t>
      </w:r>
      <w:r>
        <w:rPr>
          <w:rFonts w:ascii="Calibri" w:hAnsi="Calibri"/>
          <w:b w:val="0"/>
          <w:i w:val="0"/>
          <w:sz w:val="21"/>
        </w:rPr>
        <w:t>:</w:t>
      </w:r>
    </w:p>
    <w:tbl>
      <w:tblPr>
        <w:tblW w:type="auto" w:w="0"/>
        <w:jc w:val="center"/>
        <w:tblLook w:firstColumn="1" w:firstRow="1" w:lastColumn="0" w:lastRow="0" w:noHBand="0" w:noVBand="1" w:val="04A0"/>
      </w:tblPr>
      <w:tblGrid>
        <w:gridCol w:w="9936"/>
      </w:tblGrid>
      <w:tr>
        <w:tc>
          <w:tcPr>
            <w:tcW w:type="dxa" w:w="9936"/>
            <w:shd w:fill="F4F6F8"/>
            <w:tcMar>
              <w:top w:w="140" w:type="dxa"/>
              <w:bottom w:w="140" w:type="dxa"/>
              <w:left w:w="180" w:type="dxa"/>
              <w:right w:w="180" w:type="dxa"/>
            </w:tcMar>
            <w:tcBorders>
              <w:top w:val="single" w:sz="4" w:space="0" w:color="0B3C5D"/>
              <w:left w:val="single" w:sz="24" w:space="0" w:color="0B3C5D"/>
              <w:bottom w:val="single" w:sz="4" w:space="0" w:color="D0D7DE"/>
              <w:right w:val="single" w:sz="4" w:space="0" w:color="D0D7DE"/>
            </w:tcBorders>
          </w:tcPr>
          <w:p>
            <w:pPr>
              <w:spacing w:before="40" w:after="40" w:line="252" w:lineRule="auto"/>
            </w:pPr>
            <w:r>
              <w:rPr>
                <w:rFonts w:ascii="Consolas" w:hAnsi="Consolas"/>
                <w:color w:val="1B263B"/>
                <w:sz w:val="17"/>
              </w:rPr>
              <w:t>+-------------------------------------------------------------------------------+</w:t>
              <w:br/>
              <w:t>| TAM (Mercado Total Direccionable): USD $3.2B                                  |</w:t>
              <w:br/>
              <w:t>| Mercado total de software analítico, scoring y gestión de riesgo en LatAm.    |</w:t>
              <w:br/>
              <w:t>+-------------------------------------------------------+-----------------------+</w:t>
              <w:br/>
              <w:t xml:space="preserve">                                                        |</w:t>
              <w:br/>
              <w:t xml:space="preserve">                                                        v</w:t>
              <w:br/>
              <w:t xml:space="preserve">                        +---------------------------------------------------------------+</w:t>
              <w:br/>
              <w:t xml:space="preserve">                        | SAM (Mercado Disponible Servible): USD $280M                  |</w:t>
              <w:br/>
              <w:t xml:space="preserve">                        | Software de scoring y riesgo para MiPyMEs en Colombia         |</w:t>
              <w:br/>
              <w:t xml:space="preserve">                        | (5.4 millones de micronegocios y &gt;180 entidades de crédito).  |</w:t>
              <w:br/>
              <w:t xml:space="preserve">                        +-------------------------------+-------------------------------+</w:t>
              <w:br/>
              <w:t xml:space="preserve">                                                        |</w:t>
              <w:br/>
              <w:t xml:space="preserve">                                                        v</w:t>
              <w:br/>
              <w:t xml:space="preserve">                                        +-----------------------------------------------+</w:t>
              <w:br/>
              <w:t xml:space="preserve">                                        | SOM (Mercado Objetivo Inicial): USD $4.5M     |</w:t>
              <w:br/>
              <w:t xml:space="preserve">                                        | Captura en 3 años de 120 entidades (Fintechs, |</w:t>
              <w:br/>
              <w:t xml:space="preserve">                                        | cooperativas e intermediarios) y 250k scores. |</w:t>
              <w:br/>
              <w:t xml:space="preserve">                                        +-----------------------------------------------+</w:t>
            </w:r>
          </w:p>
        </w:tc>
      </w:tr>
    </w:tbl>
    <w:p>
      <w:pPr>
        <w:spacing w:before="0" w:after="80"/>
      </w:pPr>
    </w:p>
    <w:p>
      <w:pPr>
        <w:pStyle w:val="ListBullet"/>
        <w:spacing w:before="20" w:after="40"/>
        <w:ind w:left="360"/>
      </w:pPr>
      <w:r>
        <w:rPr>
          <w:rFonts w:ascii="Calibri" w:hAnsi="Calibri"/>
          <w:b/>
          <w:sz w:val="21"/>
        </w:rPr>
        <w:t>TAM (Total Addressable Market - América Latina):</w:t>
      </w:r>
      <w:r>
        <w:rPr>
          <w:rFonts w:ascii="Calibri" w:hAnsi="Calibri"/>
          <w:b w:val="0"/>
          <w:i w:val="0"/>
          <w:sz w:val="21"/>
        </w:rPr>
        <w:t xml:space="preserve"> </w:t>
      </w:r>
      <w:r>
        <w:rPr>
          <w:rFonts w:ascii="Calibri" w:hAnsi="Calibri"/>
          <w:b/>
          <w:sz w:val="21"/>
        </w:rPr>
        <w:t>USD $3.200 Millones</w:t>
      </w:r>
      <w:r>
        <w:rPr>
          <w:rFonts w:ascii="Calibri" w:hAnsi="Calibri"/>
          <w:b w:val="0"/>
          <w:i w:val="0"/>
          <w:sz w:val="21"/>
        </w:rPr>
        <w:t>, correspondiente al gasto total en plataformas de gestión de riesgo crediticio, prevención de fraude y analítica avanzada para servicios financieros en América Latina (crecimiento anual compuesto CAGR de 14.8%).</w:t>
      </w:r>
    </w:p>
    <w:p>
      <w:pPr>
        <w:pStyle w:val="ListBullet"/>
        <w:spacing w:before="20" w:after="40"/>
        <w:ind w:left="360"/>
      </w:pPr>
      <w:r>
        <w:rPr>
          <w:rFonts w:ascii="Calibri" w:hAnsi="Calibri"/>
          <w:b/>
          <w:sz w:val="21"/>
        </w:rPr>
        <w:t>SAM (Serviceable Available Market - Colombia):</w:t>
      </w:r>
      <w:r>
        <w:rPr>
          <w:rFonts w:ascii="Calibri" w:hAnsi="Calibri"/>
          <w:b w:val="0"/>
          <w:i w:val="0"/>
          <w:sz w:val="21"/>
        </w:rPr>
        <w:t xml:space="preserve"> </w:t>
      </w:r>
      <w:r>
        <w:rPr>
          <w:rFonts w:ascii="Calibri" w:hAnsi="Calibri"/>
          <w:b/>
          <w:sz w:val="21"/>
        </w:rPr>
        <w:t>USD $280 Millones</w:t>
      </w:r>
      <w:r>
        <w:rPr>
          <w:rFonts w:ascii="Calibri" w:hAnsi="Calibri"/>
          <w:b w:val="0"/>
          <w:i w:val="0"/>
          <w:sz w:val="21"/>
        </w:rPr>
        <w:t>, enfocado en la demanda de soluciones analíticas de originación y scoring de crédito para el segmento de microempresas y consumo en Colombia, donde operan 26 bancos comerciales, más de 180 cooperativas financieras y más de 350 Fintechs activas.</w:t>
      </w:r>
    </w:p>
    <w:p>
      <w:pPr>
        <w:pStyle w:val="ListBullet"/>
        <w:spacing w:before="20" w:after="40"/>
        <w:ind w:left="360"/>
      </w:pPr>
      <w:r>
        <w:rPr>
          <w:rFonts w:ascii="Calibri" w:hAnsi="Calibri"/>
          <w:b/>
          <w:sz w:val="21"/>
        </w:rPr>
        <w:t>SOM (Serviceable Obtainable Market - 3 Años):</w:t>
      </w:r>
      <w:r>
        <w:rPr>
          <w:rFonts w:ascii="Calibri" w:hAnsi="Calibri"/>
          <w:b w:val="0"/>
          <w:i w:val="0"/>
          <w:sz w:val="21"/>
        </w:rPr>
        <w:t xml:space="preserve"> </w:t>
      </w:r>
      <w:r>
        <w:rPr>
          <w:rFonts w:ascii="Calibri" w:hAnsi="Calibri"/>
          <w:b/>
          <w:sz w:val="21"/>
        </w:rPr>
        <w:t>USD $4.5 Millones anuales</w:t>
      </w:r>
      <w:r>
        <w:rPr>
          <w:rFonts w:ascii="Calibri" w:hAnsi="Calibri"/>
          <w:b w:val="0"/>
          <w:i w:val="0"/>
          <w:sz w:val="21"/>
        </w:rPr>
        <w:t>, capturando el 1.6% del mercado local al vincular a 120 entidades financieras/Fintechs medianas y cooperativas, procesando un volumen estimado de más de 2.500.000 consultas analíticas y scoring al año.</w:t>
      </w:r>
    </w:p>
    <w:p>
      <w:pPr>
        <w:spacing w:before="120" w:after="120"/>
        <w:pBdr>
          <w:bottom w:val="single" w:sz="6" w:space="1" w:color="0B3C5D"/>
        </w:pBdr>
      </w:pPr>
    </w:p>
    <w:p>
      <w:pPr>
        <w:keepNext/>
        <w:spacing w:before="280" w:after="120"/>
      </w:pPr>
      <w:r>
        <w:rPr>
          <w:rFonts w:ascii="Calibri" w:hAnsi="Calibri"/>
          <w:b/>
          <w:i w:val="0"/>
          <w:color w:val="0B3C5D"/>
          <w:sz w:val="36"/>
        </w:rPr>
        <w:t>Paso 2. Análisis del Problema en la Industria Seleccionada (Fishbone / Ishikawa)</w:t>
      </w:r>
    </w:p>
    <w:p>
      <w:pPr>
        <w:keepNext/>
        <w:spacing w:before="180" w:after="60"/>
      </w:pPr>
      <w:r>
        <w:rPr>
          <w:rFonts w:ascii="Calibri" w:hAnsi="Calibri"/>
          <w:b/>
          <w:i w:val="0"/>
          <w:color w:val="324B64"/>
          <w:sz w:val="24"/>
        </w:rPr>
        <w:t>PROBLEMA CENTRAL:</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40" w:type="dxa"/>
            </w:tcMar>
            <w:tcBorders>
              <w:top w:val="none"/>
              <w:left w:val="single" w:sz="24" w:space="0" w:color="0B3C5D"/>
              <w:bottom w:val="none"/>
              <w:right w:val="none"/>
            </w:tcBorders>
          </w:tcPr>
          <w:p>
            <w:pPr>
              <w:spacing w:before="40" w:after="40"/>
            </w:pPr>
            <w:r>
              <w:rPr>
                <w:rFonts w:ascii="Calibri" w:hAnsi="Calibri"/>
                <w:b/>
                <w:color w:val="0B3C5D"/>
                <w:sz w:val="21"/>
              </w:rPr>
              <w:t>"Alta exclusión crediticia y prolongados tiempos de respuesta en la originación de microcréditos productivos en Colombia, derivados de la asimetría de información y la obsolescencia de los modelos de scoring tradicionales."</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4F6F8"/>
            <w:tcMar>
              <w:top w:w="140" w:type="dxa"/>
              <w:bottom w:w="140" w:type="dxa"/>
              <w:left w:w="180" w:type="dxa"/>
              <w:right w:w="180" w:type="dxa"/>
            </w:tcMar>
            <w:tcBorders>
              <w:top w:val="single" w:sz="4" w:space="0" w:color="0B3C5D"/>
              <w:left w:val="single" w:sz="24" w:space="0" w:color="0B3C5D"/>
              <w:bottom w:val="single" w:sz="4" w:space="0" w:color="D0D7DE"/>
              <w:right w:val="single" w:sz="4" w:space="0" w:color="D0D7DE"/>
            </w:tcBorders>
          </w:tcPr>
          <w:p>
            <w:pPr>
              <w:spacing w:before="40" w:after="40" w:line="252" w:lineRule="auto"/>
            </w:pPr>
            <w:r>
              <w:rPr>
                <w:rFonts w:ascii="Consolas" w:hAnsi="Consolas"/>
                <w:color w:val="1B263B"/>
                <w:sz w:val="17"/>
              </w:rPr>
              <w:t>graph TD</w:t>
              <w:br/>
              <w:t xml:space="preserve">    %% Diagrama de Ishikawa / Causa-Efecto (Fishbone)</w:t>
              <w:br/>
              <w:t xml:space="preserve">    subgraph CAUSAS_DURAS [CAUSAS DURAS: Operativas, Tecnológicas y Estructurales]</w:t>
              <w:br/>
              <w:t xml:space="preserve">        D1[Calidad y Disponibilidad de Datos] --&gt;|Falta de estados financieros auditados e informalidad contable| D1a[Datos Ruidosos / Dispersos]</w:t>
              <w:br/>
              <w:t xml:space="preserve">        D1 --&gt;|Invisibilidad en centrales tradicionales| D1b[Thin-file / Sin Historial]</w:t>
              <w:br/>
              <w:t xml:space="preserve">        </w:t>
              <w:br/>
              <w:t xml:space="preserve">        D2[Modelos y Algoritmos] --&gt;|Modelos lineales rígidos y desactualizados| D2a[Incapacidad de capturar no-linealidades]</w:t>
              <w:br/>
              <w:t xml:space="preserve">        D2 --&gt;|Falta de explicabilidad en modelos modernos| D2b[Temor a la Caja Negra]</w:t>
              <w:br/>
              <w:t xml:space="preserve">        </w:t>
              <w:br/>
              <w:t xml:space="preserve">        D3[Infraestructura y Procesos] --&gt;|Evaluaciones manuales y comités físicos| D3a[Tiempos de respuesta de hasta 15 días]</w:t>
              <w:br/>
              <w:t xml:space="preserve">        D3 --&gt;|Sistemas bancarios legados y APIs cerradas| D3b[Altos costos de originación]</w:t>
              <w:br/>
              <w:t xml:space="preserve">    end</w:t>
              <w:br/>
              <w:br/>
              <w:t xml:space="preserve">    subgraph CAUSAS_BLANDAS [CAUSAS BLANDAS: Psicológicas, Culturales y Humanas]</w:t>
              <w:br/>
              <w:t xml:space="preserve">        B1[Cultura de las Entidades Financieras] --&gt;|Aversión extrema al riesgo en analistas de crédito| B1a[Castigo sistemático al micronegocio]</w:t>
              <w:br/>
              <w:t xml:space="preserve">        B1 --&gt;|Sesgos cognitivos y demográficos en evaluadores| B1b[Discriminación geográfica/sectorial]</w:t>
              <w:br/>
              <w:t xml:space="preserve">        </w:t>
              <w:br/>
              <w:t xml:space="preserve">        B2[Comportamiento del Microempresario] --&gt;|Desconfianza y temor hacia la banca formal| B2a[Autoexclusión financiera]</w:t>
              <w:br/>
              <w:t xml:space="preserve">        B2 --&gt;|Falta de educación financiera y cultura de registro| B2b[Mezcla de finanzas personales y negocio]</w:t>
              <w:br/>
              <w:t xml:space="preserve">        </w:t>
              <w:br/>
              <w:t xml:space="preserve">        B3[Entorno Regulatorio y Social] --&gt;|Fricción percibida ante trámites tributarios| B3a[Miedo a la fiscalización]</w:t>
              <w:br/>
              <w:t xml:space="preserve">        B3 --&gt;|Aceptación cultural del crédito informal| B3b[Normalización del 'Gota a Gota']</w:t>
              <w:br/>
              <w:t xml:space="preserve">    end</w:t>
              <w:br/>
              <w:br/>
              <w:t xml:space="preserve">    D1a --&gt; PROBLEMA[PROBLEMA CENTRAL: Alta Exclusión Crediticia y Rechazo de MiPyMEs en Colombia]</w:t>
              <w:br/>
              <w:t xml:space="preserve">    D1b --&gt; PROBLEMA</w:t>
              <w:br/>
              <w:t xml:space="preserve">    D2a --&gt; PROBLEMA</w:t>
              <w:br/>
              <w:t xml:space="preserve">    D2b --&gt; PROBLEMA</w:t>
              <w:br/>
              <w:t xml:space="preserve">    D3a --&gt; PROBLEMA</w:t>
              <w:br/>
              <w:t xml:space="preserve">    D3b --&gt; PROBLEMA</w:t>
              <w:br/>
              <w:t xml:space="preserve">    B1a --&gt; PROBLEMA</w:t>
              <w:br/>
              <w:t xml:space="preserve">    B1b --&gt; PROBLEMA</w:t>
              <w:br/>
              <w:t xml:space="preserve">    B2a --&gt; PROBLEMA</w:t>
              <w:br/>
              <w:t xml:space="preserve">    B2b --&gt; PROBLEMA</w:t>
              <w:br/>
              <w:t xml:space="preserve">    B3a --&gt; PROBLEMA</w:t>
              <w:br/>
              <w:t xml:space="preserve">    B3b --&gt; PROBLEMA</w:t>
            </w:r>
          </w:p>
        </w:tc>
      </w:tr>
    </w:tbl>
    <w:p>
      <w:pPr>
        <w:spacing w:before="0" w:after="80"/>
      </w:pPr>
    </w:p>
    <w:p>
      <w:pPr>
        <w:keepNext/>
        <w:spacing w:before="180" w:after="60"/>
      </w:pPr>
      <w:r>
        <w:rPr>
          <w:rFonts w:ascii="Calibri" w:hAnsi="Calibri"/>
          <w:b/>
          <w:i w:val="0"/>
          <w:color w:val="324B64"/>
          <w:sz w:val="24"/>
        </w:rPr>
        <w:t>Desglose Detallado de Causas:</w:t>
      </w:r>
    </w:p>
    <w:p>
      <w:pPr>
        <w:keepNext/>
        <w:spacing w:before="140" w:after="40"/>
      </w:pPr>
      <w:r>
        <w:rPr>
          <w:rFonts w:ascii="Calibri" w:hAnsi="Calibri"/>
          <w:b/>
          <w:i w:val="0"/>
          <w:color w:val="465A6E"/>
          <w:sz w:val="22"/>
        </w:rPr>
        <w:t>1. Causas Duras (Disponibilidad de Recursos, Procesos y Estructura Técnica):</w:t>
      </w:r>
    </w:p>
    <w:p>
      <w:pPr>
        <w:pStyle w:val="ListBullet"/>
        <w:spacing w:before="20" w:after="40"/>
        <w:ind w:left="360"/>
      </w:pPr>
      <w:r>
        <w:rPr>
          <w:rFonts w:ascii="Calibri" w:hAnsi="Calibri"/>
          <w:b/>
          <w:sz w:val="21"/>
        </w:rPr>
        <w:t>Datos y Variables:</w:t>
      </w:r>
      <w:r>
        <w:rPr>
          <w:rFonts w:ascii="Calibri" w:hAnsi="Calibri"/>
          <w:b w:val="0"/>
          <w:i w:val="0"/>
          <w:sz w:val="21"/>
        </w:rPr>
        <w:t xml:space="preserve"> El 60% de los micronegocios en Colombia operan en la economía popular sin balances auditados; su única huella es transaccional (compras diarias a proveedores, billeteras móviles, facturas simplificadas). Los bureaus tradicionales no capturan esta información dinámica.</w:t>
      </w:r>
    </w:p>
    <w:p>
      <w:pPr>
        <w:pStyle w:val="ListBullet"/>
        <w:spacing w:before="20" w:after="40"/>
        <w:ind w:left="360"/>
      </w:pPr>
      <w:r>
        <w:rPr>
          <w:rFonts w:ascii="Calibri" w:hAnsi="Calibri"/>
          <w:b/>
          <w:sz w:val="21"/>
        </w:rPr>
        <w:t>Limitaciones de Modelado:</w:t>
      </w:r>
      <w:r>
        <w:rPr>
          <w:rFonts w:ascii="Calibri" w:hAnsi="Calibri"/>
          <w:b w:val="0"/>
          <w:i w:val="0"/>
          <w:sz w:val="21"/>
        </w:rPr>
        <w:t xml:space="preserve"> Uso de métodos estadísticos lineales unidimensionales que castigan la varianza de ingresos naturales de los pequeños comercios en lugar de modelar su estacionalidad y capacidad intrínseca de pago.</w:t>
      </w:r>
    </w:p>
    <w:p>
      <w:pPr>
        <w:pStyle w:val="ListBullet"/>
        <w:spacing w:before="20" w:after="40"/>
        <w:ind w:left="360"/>
      </w:pPr>
      <w:r>
        <w:rPr>
          <w:rFonts w:ascii="Calibri" w:hAnsi="Calibri"/>
          <w:b/>
          <w:sz w:val="21"/>
        </w:rPr>
        <w:t>Procesos Operativos Ineficientes:</w:t>
      </w:r>
      <w:r>
        <w:rPr>
          <w:rFonts w:ascii="Calibri" w:hAnsi="Calibri"/>
          <w:b w:val="0"/>
          <w:i w:val="0"/>
          <w:sz w:val="21"/>
        </w:rPr>
        <w:t xml:space="preserve"> El costo operativo de enviar a un asesor a levantar información en campo hace inviable para la banca originar créditos inferiores a COP $5.000.000 de manera rentable.</w:t>
      </w:r>
    </w:p>
    <w:p>
      <w:pPr>
        <w:keepNext/>
        <w:spacing w:before="140" w:after="40"/>
      </w:pPr>
      <w:r>
        <w:rPr>
          <w:rFonts w:ascii="Calibri" w:hAnsi="Calibri"/>
          <w:b/>
          <w:i w:val="0"/>
          <w:color w:val="465A6E"/>
          <w:sz w:val="22"/>
        </w:rPr>
        <w:t>2. Causas Blandas (Factores Psicológicos, Culturales y Humanos):</w:t>
      </w:r>
    </w:p>
    <w:p>
      <w:pPr>
        <w:pStyle w:val="ListBullet"/>
        <w:spacing w:before="20" w:after="40"/>
        <w:ind w:left="360"/>
      </w:pPr>
      <w:r>
        <w:rPr>
          <w:rFonts w:ascii="Calibri" w:hAnsi="Calibri"/>
          <w:b/>
          <w:sz w:val="21"/>
        </w:rPr>
        <w:t>Aversión al Riesgo y Sesgos Humanos:</w:t>
      </w:r>
      <w:r>
        <w:rPr>
          <w:rFonts w:ascii="Calibri" w:hAnsi="Calibri"/>
          <w:b w:val="0"/>
          <w:i w:val="0"/>
          <w:sz w:val="21"/>
        </w:rPr>
        <w:t xml:space="preserve"> Los comités de crédito tradicionales rechazan solicitudes basándose en prejuicios sobre la ubicación del local comercial o el sector de actividad económica.</w:t>
      </w:r>
    </w:p>
    <w:p>
      <w:pPr>
        <w:pStyle w:val="ListBullet"/>
        <w:spacing w:before="20" w:after="40"/>
        <w:ind w:left="360"/>
      </w:pPr>
      <w:r>
        <w:rPr>
          <w:rFonts w:ascii="Calibri" w:hAnsi="Calibri"/>
          <w:b/>
          <w:sz w:val="21"/>
        </w:rPr>
        <w:t>Barreras Psicológicas del Solicitante:</w:t>
      </w:r>
      <w:r>
        <w:rPr>
          <w:rFonts w:ascii="Calibri" w:hAnsi="Calibri"/>
          <w:b w:val="0"/>
          <w:i w:val="0"/>
          <w:sz w:val="21"/>
        </w:rPr>
        <w:t xml:space="preserve"> El comerciante siente intimidación ante los formularios bancarios complejos y prefiere acudir al prestamista informal de barrio por su inmediatez ("en 1 hora y sin papeles"), ignorando o resignándose a tasas destructivas de hasta el 40% mensual.</w:t>
      </w:r>
    </w:p>
    <w:p>
      <w:pPr>
        <w:pStyle w:val="ListBullet"/>
        <w:spacing w:before="20" w:after="40"/>
        <w:ind w:left="360"/>
      </w:pPr>
      <w:r>
        <w:rPr>
          <w:rFonts w:ascii="Calibri" w:hAnsi="Calibri"/>
          <w:b/>
          <w:sz w:val="21"/>
        </w:rPr>
        <w:t>Falta de Confianza Bidireccional:</w:t>
      </w:r>
      <w:r>
        <w:rPr>
          <w:rFonts w:ascii="Calibri" w:hAnsi="Calibri"/>
          <w:b w:val="0"/>
          <w:i w:val="0"/>
          <w:sz w:val="21"/>
        </w:rPr>
        <w:t xml:space="preserve"> La banca no confía en la estabilidad del micronegocio y el micronegocio ve a la banca como una entidad hostil y punitiva.</w:t>
      </w:r>
    </w:p>
    <w:p>
      <w:pPr>
        <w:spacing w:before="120" w:after="120"/>
        <w:pBdr>
          <w:bottom w:val="single" w:sz="6" w:space="1" w:color="0B3C5D"/>
        </w:pBdr>
      </w:pPr>
    </w:p>
    <w:p>
      <w:pPr>
        <w:keepNext/>
        <w:spacing w:before="280" w:after="120"/>
      </w:pPr>
      <w:r>
        <w:rPr>
          <w:rFonts w:ascii="Calibri" w:hAnsi="Calibri"/>
          <w:b/>
          <w:i w:val="0"/>
          <w:color w:val="0B3C5D"/>
          <w:sz w:val="36"/>
        </w:rPr>
        <w:t>Paso 3. Escribe el Problema que van a Resolver, el Tamaño del Mercado y tu Primer Prototipo</w:t>
      </w:r>
    </w:p>
    <w:p>
      <w:pPr>
        <w:keepNext/>
        <w:spacing w:before="180" w:after="60"/>
      </w:pPr>
      <w:r>
        <w:rPr>
          <w:rFonts w:ascii="Calibri" w:hAnsi="Calibri"/>
          <w:b/>
          <w:i w:val="0"/>
          <w:color w:val="324B64"/>
          <w:sz w:val="24"/>
        </w:rPr>
        <w:t>3 Preguntas Clave:</w:t>
      </w:r>
    </w:p>
    <w:p>
      <w:pPr>
        <w:keepNext/>
        <w:spacing w:before="140" w:after="40"/>
      </w:pPr>
      <w:r>
        <w:rPr>
          <w:rFonts w:ascii="Calibri" w:hAnsi="Calibri"/>
          <w:b/>
          <w:i w:val="0"/>
          <w:color w:val="465A6E"/>
          <w:sz w:val="22"/>
        </w:rPr>
        <w:t>(1) ¿Qué hacen los clientes hoy?</w:t>
      </w:r>
    </w:p>
    <w:p>
      <w:pPr>
        <w:pStyle w:val="ListBullet"/>
        <w:spacing w:before="20" w:after="40"/>
        <w:ind w:left="360"/>
      </w:pPr>
      <w:r>
        <w:rPr>
          <w:rFonts w:ascii="Calibri" w:hAnsi="Calibri"/>
          <w:b/>
          <w:sz w:val="21"/>
        </w:rPr>
        <w:t>Las Entidades Financieras:</w:t>
      </w:r>
      <w:r>
        <w:rPr>
          <w:rFonts w:ascii="Calibri" w:hAnsi="Calibri"/>
          <w:b w:val="0"/>
          <w:i w:val="0"/>
          <w:sz w:val="21"/>
        </w:rPr>
        <w:t xml:space="preserve"> Rechazan automáticamente al 60%-70% de las solicitudes de microcrédito por falta de historial crediticio o incurren en costos exorbitantes de evaluación manual en campo que tardan entre 7 y 20 días hábiles.</w:t>
      </w:r>
    </w:p>
    <w:p>
      <w:pPr>
        <w:pStyle w:val="ListBullet"/>
        <w:spacing w:before="20" w:after="40"/>
        <w:ind w:left="360"/>
      </w:pPr>
      <w:r>
        <w:rPr>
          <w:rFonts w:ascii="Calibri" w:hAnsi="Calibri"/>
          <w:b/>
          <w:sz w:val="21"/>
        </w:rPr>
        <w:t>Los Microempresarios:</w:t>
      </w:r>
      <w:r>
        <w:rPr>
          <w:rFonts w:ascii="Calibri" w:hAnsi="Calibri"/>
          <w:b w:val="0"/>
          <w:i w:val="0"/>
          <w:sz w:val="21"/>
        </w:rPr>
        <w:t xml:space="preserve"> Al ser rechazados por la banca formal, recurren a préstamos familiares insuficientes o caen en redes de usura ilegal ("gota a gota"), pagando intereses desproporcionados que absorben todo su margen operativo y amenazan su seguridad física y patrimonial.</w:t>
      </w:r>
    </w:p>
    <w:p>
      <w:pPr>
        <w:keepNext/>
        <w:spacing w:before="140" w:after="40"/>
      </w:pPr>
      <w:r>
        <w:rPr>
          <w:rFonts w:ascii="Calibri" w:hAnsi="Calibri"/>
          <w:b/>
          <w:i w:val="0"/>
          <w:color w:val="465A6E"/>
          <w:sz w:val="22"/>
        </w:rPr>
        <w:t>(2) ¿Por qué el problema es difícil de resolver?</w:t>
      </w:r>
    </w:p>
    <w:p>
      <w:pPr>
        <w:pStyle w:val="ListBullet"/>
        <w:spacing w:before="20" w:after="40"/>
        <w:ind w:left="360"/>
      </w:pPr>
      <w:r>
        <w:rPr>
          <w:rFonts w:ascii="Calibri" w:hAnsi="Calibri"/>
          <w:b/>
          <w:sz w:val="21"/>
        </w:rPr>
        <w:t>Datos Altamente Ruidosos y Asimétricos:</w:t>
      </w:r>
      <w:r>
        <w:rPr>
          <w:rFonts w:ascii="Calibri" w:hAnsi="Calibri"/>
          <w:b w:val="0"/>
          <w:i w:val="0"/>
          <w:sz w:val="21"/>
        </w:rPr>
        <w:t xml:space="preserve"> Los ingresos de los micronegocios fluctúan estacionalmente y se componen de efectivo y transacciones digitales fragmentadas. Construir un modelo estadístico que distinga la verdadera solvencia del riesgo de liquidez puntual requiere técnicas avanzadas de </w:t>
      </w:r>
      <w:r>
        <w:rPr>
          <w:rFonts w:ascii="Calibri" w:hAnsi="Calibri"/>
          <w:b/>
          <w:sz w:val="21"/>
        </w:rPr>
        <w:t>inferencia causal bayesiana y modelado de series temporales no homogéneas</w:t>
      </w:r>
      <w:r>
        <w:rPr>
          <w:rFonts w:ascii="Calibri" w:hAnsi="Calibri"/>
          <w:b w:val="0"/>
          <w:i w:val="0"/>
          <w:sz w:val="21"/>
        </w:rPr>
        <w:t>.</w:t>
      </w:r>
    </w:p>
    <w:p>
      <w:pPr>
        <w:pStyle w:val="ListBullet"/>
        <w:spacing w:before="20" w:after="40"/>
        <w:ind w:left="360"/>
      </w:pPr>
      <w:r>
        <w:rPr>
          <w:rFonts w:ascii="Calibri" w:hAnsi="Calibri"/>
          <w:b/>
          <w:sz w:val="21"/>
        </w:rPr>
        <w:t>Restricción Regulatoria de Explicabilidad:</w:t>
      </w:r>
      <w:r>
        <w:rPr>
          <w:rFonts w:ascii="Calibri" w:hAnsi="Calibri"/>
          <w:b w:val="0"/>
          <w:i w:val="0"/>
          <w:sz w:val="21"/>
        </w:rPr>
        <w:t xml:space="preserve"> La regulación colombiana (SFC) prohíbe el uso de algoritmos de "caja negra" que rechacen créditos sin justificar la causa exacta al usuario. Cualquier solución debe ofrecer transparencia matemática total.</w:t>
      </w:r>
    </w:p>
    <w:p>
      <w:pPr>
        <w:pStyle w:val="ListBullet"/>
        <w:spacing w:before="20" w:after="40"/>
        <w:ind w:left="360"/>
      </w:pPr>
      <w:r>
        <w:rPr>
          <w:rFonts w:ascii="Calibri" w:hAnsi="Calibri"/>
          <w:b/>
          <w:sz w:val="21"/>
        </w:rPr>
        <w:t>Riesgo de Selección Adversa y Fraude:</w:t>
      </w:r>
      <w:r>
        <w:rPr>
          <w:rFonts w:ascii="Calibri" w:hAnsi="Calibri"/>
          <w:b w:val="0"/>
          <w:i w:val="0"/>
          <w:sz w:val="21"/>
        </w:rPr>
        <w:t xml:space="preserve"> Diseñar variables que no sean fácilmente manipulables por solicitantes malintencionados requiere algoritmos de detección de anomalías y validación cruzada de fuentes alternativas.</w:t>
      </w:r>
    </w:p>
    <w:p>
      <w:pPr>
        <w:keepNext/>
        <w:spacing w:before="140" w:after="40"/>
      </w:pPr>
      <w:r>
        <w:rPr>
          <w:rFonts w:ascii="Calibri" w:hAnsi="Calibri"/>
          <w:b/>
          <w:i w:val="0"/>
          <w:color w:val="465A6E"/>
          <w:sz w:val="22"/>
        </w:rPr>
        <w:t>(3) ¿Qué tipo de mercado estamos abordando?</w:t>
      </w:r>
    </w:p>
    <w:p>
      <w:pPr>
        <w:pStyle w:val="ListBullet"/>
        <w:spacing w:before="20" w:after="40"/>
        <w:ind w:left="360"/>
      </w:pPr>
      <w:r>
        <w:rPr>
          <w:rFonts w:ascii="Calibri" w:hAnsi="Calibri"/>
          <w:b/>
          <w:sz w:val="21"/>
        </w:rPr>
        <w:t>Mercado B2B Enterprise SaaS &amp; API-First (Credit-Tech):</w:t>
      </w:r>
      <w:r>
        <w:rPr>
          <w:rFonts w:ascii="Calibri" w:hAnsi="Calibri"/>
          <w:b w:val="0"/>
          <w:i w:val="0"/>
          <w:sz w:val="21"/>
        </w:rPr>
        <w:t xml:space="preserve"> Vendemos licencias y cobro por consumo (modelo </w:t>
      </w:r>
      <w:r>
        <w:rPr>
          <w:rFonts w:ascii="Calibri" w:hAnsi="Calibri"/>
          <w:i/>
          <w:sz w:val="21"/>
        </w:rPr>
        <w:t>Pay-per-API-Call</w:t>
      </w:r>
      <w:r>
        <w:rPr>
          <w:rFonts w:ascii="Calibri" w:hAnsi="Calibri"/>
          <w:b w:val="0"/>
          <w:i w:val="0"/>
          <w:sz w:val="21"/>
        </w:rPr>
        <w:t>) a bancos, cooperativas de crédito, billeteras digitales y Fintechs.</w:t>
      </w:r>
    </w:p>
    <w:p>
      <w:pPr>
        <w:pStyle w:val="ListBullet"/>
        <w:spacing w:before="20" w:after="40"/>
        <w:ind w:left="360"/>
      </w:pPr>
      <w:r>
        <w:rPr>
          <w:rFonts w:ascii="Calibri" w:hAnsi="Calibri"/>
          <w:b/>
          <w:sz w:val="21"/>
        </w:rPr>
        <w:t>Mercado B2B2C:</w:t>
      </w:r>
      <w:r>
        <w:rPr>
          <w:rFonts w:ascii="Calibri" w:hAnsi="Calibri"/>
          <w:b w:val="0"/>
          <w:i w:val="0"/>
          <w:sz w:val="21"/>
        </w:rPr>
        <w:t xml:space="preserve"> Brindamos a los micronegocios un portal gratuito o embebido donde pueden generar su </w:t>
      </w:r>
      <w:r>
        <w:rPr>
          <w:rFonts w:ascii="Calibri" w:hAnsi="Calibri"/>
          <w:b/>
          <w:sz w:val="21"/>
        </w:rPr>
        <w:t>"Pasaporte Estadístico de Solvencia"</w:t>
      </w:r>
      <w:r>
        <w:rPr>
          <w:rFonts w:ascii="Calibri" w:hAnsi="Calibri"/>
          <w:b w:val="0"/>
          <w:i w:val="0"/>
          <w:sz w:val="21"/>
        </w:rPr>
        <w:t>, consolidando su reputación financiera digital para recibir ofertas de crédito justas en un solo clic.</w:t>
      </w:r>
    </w:p>
    <w:p>
      <w:pPr>
        <w:spacing w:before="120" w:after="120"/>
        <w:pBdr>
          <w:bottom w:val="single" w:sz="6" w:space="1" w:color="0B3C5D"/>
        </w:pBdr>
      </w:pPr>
    </w:p>
    <w:p>
      <w:pPr>
        <w:keepNext/>
        <w:spacing w:before="240" w:after="80"/>
      </w:pPr>
      <w:r>
        <w:rPr>
          <w:rFonts w:ascii="Calibri" w:hAnsi="Calibri"/>
          <w:b/>
          <w:i w:val="0"/>
          <w:color w:val="1D5D9B"/>
          <w:sz w:val="28"/>
        </w:rPr>
        <w:t xml:space="preserve">PROTOTIPO: </w:t>
      </w:r>
      <w:r>
        <w:rPr>
          <w:rFonts w:ascii="Calibri" w:hAnsi="Calibri"/>
          <w:i/>
          <w:color w:val="1D5D9B"/>
          <w:sz w:val="28"/>
        </w:rPr>
        <w:t>StatCredit Engine v1.0</w:t>
      </w:r>
    </w:p>
    <w:p>
      <w:pPr>
        <w:keepNext/>
        <w:spacing w:before="180" w:after="60"/>
      </w:pPr>
      <w:r>
        <w:rPr>
          <w:rFonts w:ascii="Calibri" w:hAnsi="Calibri"/>
          <w:b/>
          <w:i w:val="0"/>
          <w:color w:val="324B64"/>
          <w:sz w:val="24"/>
        </w:rPr>
        <w:t>1. Descripción del Prototipo</w:t>
      </w:r>
    </w:p>
    <w:p>
      <w:pPr>
        <w:spacing w:before="40" w:after="60" w:line="276" w:lineRule="auto"/>
      </w:pPr>
      <w:r>
        <w:rPr>
          <w:rFonts w:ascii="Calibri" w:hAnsi="Calibri"/>
          <w:i/>
          <w:sz w:val="21"/>
        </w:rPr>
        <w:t>StatCredit Engine v1.0</w:t>
      </w:r>
      <w:r>
        <w:rPr>
          <w:rFonts w:ascii="Calibri" w:hAnsi="Calibri"/>
          <w:b w:val="0"/>
          <w:i w:val="0"/>
          <w:sz w:val="21"/>
        </w:rPr>
        <w:t xml:space="preserve"> es una plataforma modular de analítica y scoring crediticio alternativo en la nube que se integra mediante APIs REST/GraphQL con el core de las entidades financieras y pasarelas de pago. El motor evalúa solicitudes de crédito en tiempo real (&lt;400 ms) combinando datos transaccionales, fiscales y de comportamiento digital.</w:t>
      </w:r>
    </w:p>
    <w:tbl>
      <w:tblPr>
        <w:tblW w:type="auto" w:w="0"/>
        <w:jc w:val="center"/>
        <w:tblLook w:firstColumn="1" w:firstRow="1" w:lastColumn="0" w:lastRow="0" w:noHBand="0" w:noVBand="1" w:val="04A0"/>
      </w:tblPr>
      <w:tblGrid>
        <w:gridCol w:w="9936"/>
      </w:tblGrid>
      <w:tr>
        <w:tc>
          <w:tcPr>
            <w:tcW w:type="dxa" w:w="9936"/>
            <w:shd w:fill="F4F6F8"/>
            <w:tcMar>
              <w:top w:w="140" w:type="dxa"/>
              <w:bottom w:w="140" w:type="dxa"/>
              <w:left w:w="180" w:type="dxa"/>
              <w:right w:w="180" w:type="dxa"/>
            </w:tcMar>
            <w:tcBorders>
              <w:top w:val="single" w:sz="4" w:space="0" w:color="0B3C5D"/>
              <w:left w:val="single" w:sz="24" w:space="0" w:color="0B3C5D"/>
              <w:bottom w:val="single" w:sz="4" w:space="0" w:color="D0D7DE"/>
              <w:right w:val="single" w:sz="4" w:space="0" w:color="D0D7DE"/>
            </w:tcBorders>
          </w:tcPr>
          <w:p>
            <w:pPr>
              <w:spacing w:before="40" w:after="40" w:line="252" w:lineRule="auto"/>
            </w:pPr>
            <w:r>
              <w:rPr>
                <w:rFonts w:ascii="Consolas" w:hAnsi="Consolas"/>
                <w:color w:val="1B263B"/>
                <w:sz w:val="17"/>
              </w:rPr>
              <w:t>+----------------------------------------------------------------------------------------------------+</w:t>
              <w:br/>
              <w:t>|                                    ARQUITECTURA STATCREDIT ENGINE                                  |</w:t>
              <w:br/>
              <w:t>+----------------------------------------------------------------------------------------------------+</w:t>
              <w:br/>
              <w:t>|  [ Fuentes de Datos Alternativas ]                                                                 |</w:t>
              <w:br/>
              <w:t>|   - Facturación DIAN / XML          - APIs Open Finance (Bancos)   - Pasarelas (Bold/Wompi/Nequi)  |</w:t>
              <w:br/>
              <w:t>|   - Compras con Proveedores         - Historial de Servicios Púb.  - Telcos / Recargas             |</w:t>
              <w:br/>
              <w:t>+-------------------------------------------------+--------------------------------------------------+</w:t>
              <w:br/>
              <w:t xml:space="preserve">                                                  |</w:t>
              <w:br/>
              <w:t xml:space="preserve">                                                  v</w:t>
              <w:br/>
              <w:t>+----------------------------------------------------------------------------------------------------+</w:t>
              <w:br/>
              <w:t>|  [ Módulo 1: Pipeline ETL &amp; Feature Store Ingestion ]                                              |</w:t>
              <w:br/>
              <w:t>|   - Normalización de flujos de caja y desestacionalización estadística                             |</w:t>
              <w:br/>
              <w:t>|   - Generación de +140 features de comportamiento de liquidez y estabilidad transaccional         |</w:t>
              <w:br/>
              <w:t>+-------------------------------------------------+--------------------------------------------------+</w:t>
              <w:br/>
              <w:t xml:space="preserve">                                                  |</w:t>
              <w:br/>
              <w:t xml:space="preserve">                                                  v</w:t>
              <w:br/>
              <w:t>+----------------------------------------------------------------------------------------------------+</w:t>
              <w:br/>
              <w:t>|  [ Módulo 2: Motor Estadístico Híbrido (Core Analítico) ]                                          |</w:t>
              <w:br/>
              <w:t>|   - Inferencia Bayesiana: Estimación de probabilidad de default con intervalos de credibilidad     |</w:t>
              <w:br/>
              <w:t>|   - Análisis de Supervivencia (Cox): Estimación de tiempo esperado hasta el evento de mora         |</w:t>
              <w:br/>
              <w:t>|   - Causal ML (XGBoost + Do-Calculus): Predicción robusta libre de sesgos de confusión             |</w:t>
              <w:br/>
              <w:t>+-------------------------------------------------+--------------------------------------------------+</w:t>
              <w:br/>
              <w:t xml:space="preserve">                                                  |</w:t>
              <w:br/>
              <w:t xml:space="preserve">                                                  v</w:t>
              <w:br/>
              <w:t>+----------------------------------------------------------------------------------------------------+</w:t>
              <w:br/>
              <w:t>|  [ Módulo 3: Capa de Explicabilidad &amp; Salida de Decisión (XAI) ]                                   |</w:t>
              <w:br/>
              <w:t>|   - Atribución de factores locales SHAP / LIME (Razón exacta de aprobación/rechazo para la SFC)   |</w:t>
              <w:br/>
              <w:t>|   - Score Normalizado (0 - 1000) + Límite de Crédito y Tasa de Interés Óptima Sugerida            |</w:t>
              <w:br/>
              <w:t>+-------------------------------------------------+--------------------------------------------------+</w:t>
              <w:br/>
              <w:t xml:space="preserve">                                                  |</w:t>
              <w:br/>
              <w:t xml:space="preserve">                                                  v</w:t>
              <w:br/>
              <w:t>+----------------------------------------------------------------------------------------------------+</w:t>
              <w:br/>
              <w:t>|  [ Canales de Entrega ]                                                                            |</w:t>
              <w:br/>
              <w:t>|   - API REST en tiempo real (&lt;400ms) para Core Bancario / App Fintech                              |</w:t>
              <w:br/>
              <w:t>|   - Dashboard Interactivo en React/D3 para Analistas de Riesgo y Comités de Crédito                |</w:t>
              <w:br/>
              <w:t>+----------------------------------------------------------------------------------------------------+</w:t>
            </w:r>
          </w:p>
        </w:tc>
      </w:tr>
    </w:tbl>
    <w:p>
      <w:pPr>
        <w:spacing w:before="0" w:after="80"/>
      </w:pPr>
    </w:p>
    <w:p>
      <w:pPr>
        <w:keepNext/>
        <w:spacing w:before="180" w:after="60"/>
      </w:pPr>
      <w:r>
        <w:rPr>
          <w:rFonts w:ascii="Calibri" w:hAnsi="Calibri"/>
          <w:b/>
          <w:i w:val="0"/>
          <w:color w:val="324B64"/>
          <w:sz w:val="24"/>
        </w:rPr>
        <w:t>2. Métricas Clave de Validación Técnica del Prototipo</w:t>
      </w:r>
    </w:p>
    <w:p>
      <w:pPr>
        <w:pStyle w:val="ListBullet"/>
        <w:spacing w:before="20" w:after="40"/>
        <w:ind w:left="360"/>
      </w:pPr>
      <w:r>
        <w:rPr>
          <w:rFonts w:ascii="Calibri" w:hAnsi="Calibri"/>
          <w:b/>
          <w:sz w:val="21"/>
        </w:rPr>
        <w:t>Discriminación (AUC-ROC):</w:t>
      </w:r>
      <w:r>
        <w:rPr>
          <w:rFonts w:ascii="Calibri" w:hAnsi="Calibri"/>
          <w:b w:val="0"/>
          <w:i w:val="0"/>
          <w:sz w:val="21"/>
        </w:rPr>
        <w:t xml:space="preserve"> </w:t>
      </w:r>
      <w:r>
        <w:rPr>
          <w:rFonts w:ascii="Calibri" w:hAnsi="Calibri"/>
          <w:b/>
          <w:sz w:val="21"/>
        </w:rPr>
        <w:t>&gt; 0.88</w:t>
      </w:r>
      <w:r>
        <w:rPr>
          <w:rFonts w:ascii="Calibri" w:hAnsi="Calibri"/>
          <w:b w:val="0"/>
          <w:i w:val="0"/>
          <w:sz w:val="21"/>
        </w:rPr>
        <w:t xml:space="preserve"> (frente al 0.65 de los modelos de scoring tradicionales para el segmento de microempresas).</w:t>
      </w:r>
    </w:p>
    <w:p>
      <w:pPr>
        <w:pStyle w:val="ListBullet"/>
        <w:spacing w:before="20" w:after="40"/>
        <w:ind w:left="360"/>
      </w:pPr>
      <w:r>
        <w:rPr>
          <w:rFonts w:ascii="Calibri" w:hAnsi="Calibri"/>
          <w:b/>
          <w:sz w:val="21"/>
        </w:rPr>
        <w:t>Estadístico Kolmogorov-Smirnov (KS):</w:t>
      </w:r>
      <w:r>
        <w:rPr>
          <w:rFonts w:ascii="Calibri" w:hAnsi="Calibri"/>
          <w:b w:val="0"/>
          <w:i w:val="0"/>
          <w:sz w:val="21"/>
        </w:rPr>
        <w:t xml:space="preserve"> </w:t>
      </w:r>
      <w:r>
        <w:rPr>
          <w:rFonts w:ascii="Calibri" w:hAnsi="Calibri"/>
          <w:b/>
          <w:sz w:val="21"/>
        </w:rPr>
        <w:t>&gt; 52%</w:t>
      </w:r>
      <w:r>
        <w:rPr>
          <w:rFonts w:ascii="Calibri" w:hAnsi="Calibri"/>
          <w:b w:val="0"/>
          <w:i w:val="0"/>
          <w:sz w:val="21"/>
        </w:rPr>
        <w:t>, demostrando una separación óptima entre pagadores puntuales y potenciales morosos.</w:t>
      </w:r>
    </w:p>
    <w:p>
      <w:pPr>
        <w:pStyle w:val="ListBullet"/>
        <w:spacing w:before="20" w:after="40"/>
        <w:ind w:left="360"/>
      </w:pPr>
      <w:r>
        <w:rPr>
          <w:rFonts w:ascii="Calibri" w:hAnsi="Calibri"/>
          <w:b/>
          <w:sz w:val="21"/>
        </w:rPr>
        <w:t>Latencia de Inferencia:</w:t>
      </w:r>
      <w:r>
        <w:rPr>
          <w:rFonts w:ascii="Calibri" w:hAnsi="Calibri"/>
          <w:b w:val="0"/>
          <w:i w:val="0"/>
          <w:sz w:val="21"/>
        </w:rPr>
        <w:t xml:space="preserve"> Menor a </w:t>
      </w:r>
      <w:r>
        <w:rPr>
          <w:rFonts w:ascii="Calibri" w:hAnsi="Calibri"/>
          <w:b/>
          <w:sz w:val="21"/>
        </w:rPr>
        <w:t>400 milisegundos</w:t>
      </w:r>
      <w:r>
        <w:rPr>
          <w:rFonts w:ascii="Calibri" w:hAnsi="Calibri"/>
          <w:b w:val="0"/>
          <w:i w:val="0"/>
          <w:sz w:val="21"/>
        </w:rPr>
        <w:t xml:space="preserve"> por consulta vía API REST.</w:t>
      </w:r>
    </w:p>
    <w:p>
      <w:pPr>
        <w:pStyle w:val="ListBullet"/>
        <w:spacing w:before="20" w:after="40"/>
        <w:ind w:left="360"/>
      </w:pPr>
      <w:r>
        <w:rPr>
          <w:rFonts w:ascii="Calibri" w:hAnsi="Calibri"/>
          <w:b/>
          <w:sz w:val="21"/>
        </w:rPr>
        <w:t>Explicabilidad Cumplimiento SFC:</w:t>
      </w:r>
      <w:r>
        <w:rPr>
          <w:rFonts w:ascii="Calibri" w:hAnsi="Calibri"/>
          <w:b w:val="0"/>
          <w:i w:val="0"/>
          <w:sz w:val="21"/>
        </w:rPr>
        <w:t xml:space="preserve"> Desglose del 100% de los factores causales de la decisión accesible mediante JSON y reporte visual PDF automático para el solicitante.</w:t>
      </w:r>
    </w:p>
    <w:p>
      <w:pPr>
        <w:keepNext/>
        <w:spacing w:before="180" w:after="60"/>
      </w:pPr>
      <w:r>
        <w:rPr>
          <w:rFonts w:ascii="Calibri" w:hAnsi="Calibri"/>
          <w:b/>
          <w:i w:val="0"/>
          <w:color w:val="324B64"/>
          <w:sz w:val="24"/>
        </w:rPr>
        <w:t>3. Wireframe Conceptual del Dashboard (Vista Analista de Riesgo)</w:t>
      </w:r>
    </w:p>
    <w:tbl>
      <w:tblPr>
        <w:tblW w:type="auto" w:w="0"/>
        <w:jc w:val="center"/>
        <w:tblLook w:firstColumn="1" w:firstRow="1" w:lastColumn="0" w:lastRow="0" w:noHBand="0" w:noVBand="1" w:val="04A0"/>
      </w:tblPr>
      <w:tblGrid>
        <w:gridCol w:w="9936"/>
      </w:tblGrid>
      <w:tr>
        <w:tc>
          <w:tcPr>
            <w:tcW w:type="dxa" w:w="9936"/>
            <w:shd w:fill="F4F6F8"/>
            <w:tcMar>
              <w:top w:w="140" w:type="dxa"/>
              <w:bottom w:w="140" w:type="dxa"/>
              <w:left w:w="180" w:type="dxa"/>
              <w:right w:w="180" w:type="dxa"/>
            </w:tcMar>
            <w:tcBorders>
              <w:top w:val="single" w:sz="4" w:space="0" w:color="0B3C5D"/>
              <w:left w:val="single" w:sz="24" w:space="0" w:color="0B3C5D"/>
              <w:bottom w:val="single" w:sz="4" w:space="0" w:color="D0D7DE"/>
              <w:right w:val="single" w:sz="4" w:space="0" w:color="D0D7DE"/>
            </w:tcBorders>
          </w:tcPr>
          <w:p>
            <w:pPr>
              <w:spacing w:before="40" w:after="40" w:line="252" w:lineRule="auto"/>
            </w:pPr>
            <w:r>
              <w:rPr>
                <w:rFonts w:ascii="Consolas" w:hAnsi="Consolas"/>
                <w:color w:val="1B263B"/>
                <w:sz w:val="17"/>
              </w:rPr>
              <w:t>======================================================================================================</w:t>
              <w:br/>
              <w:t>|  StatCredit AI                                       [ Dashboard de Evaluación de Riesgo ]  (v1.0) |</w:t>
              <w:br/>
              <w:t>======================================================================================================</w:t>
              <w:br/>
              <w:t>| ID Solicitud: #CO-89421   | Negocio: Tienda La Gran Manzana | Sector: Abarrotes / Comercio Minorista</w:t>
              <w:br/>
              <w:t>| Monto Solicitado: $8.500.000 COP | Plazo: 12 Meses          | Ubicación: Engativá, Bogotá D.C.     |</w:t>
              <w:br/>
              <w:t>|----------------------------------------------------------------------------------------------------|</w:t>
              <w:br/>
              <w:t>|   ESTADO DE LA EVALUACIÓN: [ APROBADO CON RIESGO BAJO-MEDIO ]                                      |</w:t>
              <w:br/>
              <w:t>|                                                                                                    |</w:t>
              <w:br/>
              <w:t>|   [ SCORE STATCREDIT ]               [ PROBABILIDAD DE MORA ]         [ MONTO MÁXIMO SUGERIDO ]   |</w:t>
              <w:br/>
              <w:t>|       782 / 1000                            2.8% Anual                        $9.200.000 COP       |</w:t>
              <w:br/>
              <w:t>|   (Buro Tradicional: Sin Info)        (Tasa de Mercado: 9.4%)          (Cap. Pago Mensual: $920k)  |</w:t>
              <w:br/>
              <w:t>|----------------------------------------------------------------------------------------------------|</w:t>
              <w:br/>
              <w:t>|   DESGLOSE CAUSAL DE DECISIÓN (Explicabilidad SHAP - Cumplimiento SFC):                            |</w:t>
              <w:br/>
              <w:t>|   (+) Flujo de caja neto positivo en billeteras digitales (+145 pts)                              |</w:t>
              <w:br/>
              <w:t>|   (+) Regularidad en pago a proveedores de abarrotes (+110 pts)                                    |</w:t>
              <w:br/>
              <w:t>|   (+) Antigüedad operativa comprobada por geolocalización de ventas (+85 pts)                      |</w:t>
              <w:br/>
              <w:t>|   (-) Alta concentración de ventas en fin de semana (-32 pts)                                      |</w:t>
              <w:br/>
              <w:t>|                                                                                                    |</w:t>
              <w:br/>
              <w:t>|   [ Generar Certificado de Decisión PDF ]     [ Enviar Aprobación al Core Bancario ]               |</w:t>
              <w:br/>
              <w:t>======================================================================================================</w:t>
            </w:r>
          </w:p>
        </w:tc>
      </w:tr>
    </w:tbl>
    <w:p>
      <w:pPr>
        <w:spacing w:before="0" w:after="80"/>
      </w:pPr>
    </w:p>
    <w:p>
      <w:pPr>
        <w:spacing w:before="120" w:after="120"/>
        <w:pBdr>
          <w:bottom w:val="single" w:sz="6" w:space="1" w:color="0B3C5D"/>
        </w:pBdr>
      </w:pPr>
    </w:p>
    <w:p>
      <w:pPr>
        <w:keepNext/>
        <w:spacing w:before="280" w:after="120"/>
      </w:pPr>
      <w:r>
        <w:rPr>
          <w:rFonts w:ascii="Calibri" w:hAnsi="Calibri"/>
          <w:b/>
          <w:i w:val="0"/>
          <w:color w:val="0B3C5D"/>
          <w:sz w:val="36"/>
        </w:rPr>
        <w:t>Paso 4. Carga en el Link este Archivo y Completa tus Respuestas</w:t>
      </w:r>
    </w:p>
    <w:p>
      <w:pPr>
        <w:keepNext/>
        <w:spacing w:before="180" w:after="60"/>
      </w:pPr>
      <w:r>
        <w:rPr>
          <w:rFonts w:ascii="Calibri" w:hAnsi="Calibri"/>
          <w:b/>
          <w:i w:val="0"/>
          <w:color w:val="324B64"/>
          <w:sz w:val="24"/>
        </w:rPr>
        <w:t>Referencias y Fuentes de Información Utilizadas</w:t>
      </w:r>
    </w:p>
    <w:p>
      <w:pPr>
        <w:spacing w:before="20" w:after="40"/>
        <w:ind w:left="360"/>
      </w:pPr>
      <w:r>
        <w:rPr>
          <w:rFonts w:ascii="Calibri" w:hAnsi="Calibri"/>
          <w:b/>
          <w:color w:val="0B3C5D"/>
          <w:sz w:val="21"/>
        </w:rPr>
        <w:t xml:space="preserve">1. </w:t>
      </w:r>
      <w:r>
        <w:rPr>
          <w:rFonts w:ascii="Calibri" w:hAnsi="Calibri"/>
          <w:b/>
          <w:sz w:val="21"/>
        </w:rPr>
        <w:t>Superintendencia Financiera de Colombia (SFC):</w:t>
      </w:r>
    </w:p>
    <w:p>
      <w:pPr>
        <w:pStyle w:val="ListBullet"/>
        <w:spacing w:before="20" w:after="40"/>
        <w:ind w:left="360"/>
      </w:pPr>
      <w:r>
        <w:rPr>
          <w:rFonts w:ascii="Calibri" w:hAnsi="Calibri"/>
          <w:i/>
          <w:sz w:val="21"/>
        </w:rPr>
        <w:t>Reporte de Inclusión Financiera (RIF) y Estadísticas del Sistema de Administración de Riesgo Crediticio (SARC)</w:t>
      </w:r>
      <w:r>
        <w:rPr>
          <w:rFonts w:ascii="Calibri" w:hAnsi="Calibri"/>
          <w:b w:val="0"/>
          <w:i w:val="0"/>
          <w:sz w:val="21"/>
        </w:rPr>
        <w:t>: Utilizado para estimar la cartera vencida de microcrédito (mora promedio 7.8%) y la brecha de acceso crediticio en personas naturales con actividad productiva.</w:t>
      </w:r>
    </w:p>
    <w:p>
      <w:pPr>
        <w:pStyle w:val="ListBullet"/>
        <w:spacing w:before="20" w:after="40"/>
        <w:ind w:left="360"/>
      </w:pPr>
      <w:r>
        <w:rPr>
          <w:rFonts w:ascii="Calibri" w:hAnsi="Calibri"/>
          <w:i/>
          <w:sz w:val="21"/>
        </w:rPr>
        <w:t>Circular Externa 029 de la SFC y Decreto 1297 de 2022 (Open Finance)</w:t>
      </w:r>
      <w:r>
        <w:rPr>
          <w:rFonts w:ascii="Calibri" w:hAnsi="Calibri"/>
          <w:b w:val="0"/>
          <w:i w:val="0"/>
          <w:sz w:val="21"/>
        </w:rPr>
        <w:t>: Lineamientos de gobernanza para APIs financieras abiertas e interoperabilidad de datos.</w:t>
      </w:r>
    </w:p>
    <w:p>
      <w:pPr>
        <w:spacing w:before="20" w:after="40"/>
        <w:ind w:left="360"/>
      </w:pPr>
      <w:r>
        <w:rPr>
          <w:rFonts w:ascii="Calibri" w:hAnsi="Calibri"/>
          <w:b/>
          <w:color w:val="0B3C5D"/>
          <w:sz w:val="21"/>
        </w:rPr>
        <w:t xml:space="preserve">2. </w:t>
      </w:r>
      <w:r>
        <w:rPr>
          <w:rFonts w:ascii="Calibri" w:hAnsi="Calibri"/>
          <w:b/>
          <w:sz w:val="21"/>
        </w:rPr>
        <w:t>DANE (Departamento Administrativo Nacional de Estadística):</w:t>
      </w:r>
    </w:p>
    <w:p>
      <w:pPr>
        <w:pStyle w:val="ListBullet"/>
        <w:spacing w:before="20" w:after="40"/>
        <w:ind w:left="360"/>
      </w:pPr>
      <w:r>
        <w:rPr>
          <w:rFonts w:ascii="Calibri" w:hAnsi="Calibri"/>
          <w:i/>
          <w:sz w:val="21"/>
        </w:rPr>
        <w:t>Encuesta de Micronegocios (EMICRON - DANE)</w:t>
      </w:r>
      <w:r>
        <w:rPr>
          <w:rFonts w:ascii="Calibri" w:hAnsi="Calibri"/>
          <w:b w:val="0"/>
          <w:i w:val="0"/>
          <w:sz w:val="21"/>
        </w:rPr>
        <w:t>: Sustento de la cifra de 5.4 millones de micronegocios en Colombia, donde el 84.5% no accede a financiación bancaria y el 23.4% utiliza mecanismos de financiamiento informal.</w:t>
      </w:r>
    </w:p>
    <w:p>
      <w:pPr>
        <w:pStyle w:val="ListBullet"/>
        <w:spacing w:before="20" w:after="40"/>
        <w:ind w:left="360"/>
      </w:pPr>
      <w:r>
        <w:rPr>
          <w:rFonts w:ascii="Calibri" w:hAnsi="Calibri"/>
          <w:i/>
          <w:sz w:val="21"/>
        </w:rPr>
        <w:t>Gran Encuesta Integrada de Hogares (GEIH)</w:t>
      </w:r>
      <w:r>
        <w:rPr>
          <w:rFonts w:ascii="Calibri" w:hAnsi="Calibri"/>
          <w:b w:val="0"/>
          <w:i w:val="0"/>
          <w:sz w:val="21"/>
        </w:rPr>
        <w:t>: Análisis de densidad demográfica y actividades informales por regiones.</w:t>
      </w:r>
    </w:p>
    <w:p>
      <w:pPr>
        <w:spacing w:before="20" w:after="40"/>
        <w:ind w:left="360"/>
      </w:pPr>
      <w:r>
        <w:rPr>
          <w:rFonts w:ascii="Calibri" w:hAnsi="Calibri"/>
          <w:b/>
          <w:color w:val="0B3C5D"/>
          <w:sz w:val="21"/>
        </w:rPr>
        <w:t xml:space="preserve">3. </w:t>
      </w:r>
      <w:r>
        <w:rPr>
          <w:rFonts w:ascii="Calibri" w:hAnsi="Calibri"/>
          <w:b/>
          <w:sz w:val="21"/>
        </w:rPr>
        <w:t>Colombia Fintech &amp; ANDI:</w:t>
      </w:r>
    </w:p>
    <w:p>
      <w:pPr>
        <w:pStyle w:val="ListBullet"/>
        <w:spacing w:before="20" w:after="40"/>
        <w:ind w:left="360"/>
      </w:pPr>
      <w:r>
        <w:rPr>
          <w:rFonts w:ascii="Calibri" w:hAnsi="Calibri"/>
          <w:i/>
          <w:sz w:val="21"/>
        </w:rPr>
        <w:t>Informe Anual de Ecosistema Fintech Colombia</w:t>
      </w:r>
      <w:r>
        <w:rPr>
          <w:rFonts w:ascii="Calibri" w:hAnsi="Calibri"/>
          <w:b w:val="0"/>
          <w:i w:val="0"/>
          <w:sz w:val="21"/>
        </w:rPr>
        <w:t xml:space="preserve">: Validación del crecimiento de las empresas de </w:t>
      </w:r>
      <w:r>
        <w:rPr>
          <w:rFonts w:ascii="Calibri" w:hAnsi="Calibri"/>
          <w:i/>
          <w:sz w:val="21"/>
        </w:rPr>
        <w:t>Credit-Tech</w:t>
      </w:r>
      <w:r>
        <w:rPr>
          <w:rFonts w:ascii="Calibri" w:hAnsi="Calibri"/>
          <w:b w:val="0"/>
          <w:i w:val="0"/>
          <w:sz w:val="21"/>
        </w:rPr>
        <w:t xml:space="preserve"> (vertical que representa más del 30% de las Fintechs del país y canaliza más de USD $1.2B en transacciones).</w:t>
      </w:r>
    </w:p>
    <w:p>
      <w:pPr>
        <w:spacing w:before="20" w:after="40"/>
        <w:ind w:left="360"/>
      </w:pPr>
      <w:r>
        <w:rPr>
          <w:rFonts w:ascii="Calibri" w:hAnsi="Calibri"/>
          <w:b/>
          <w:color w:val="0B3C5D"/>
          <w:sz w:val="21"/>
        </w:rPr>
        <w:t xml:space="preserve">4. </w:t>
      </w:r>
      <w:r>
        <w:rPr>
          <w:rFonts w:ascii="Calibri" w:hAnsi="Calibri"/>
          <w:b/>
          <w:sz w:val="21"/>
        </w:rPr>
        <w:t>Scale Colombia &amp; Bases de Datos de Emprendimiento (&lt;https://scalecolombia.com/startup-database&gt;):</w:t>
      </w:r>
    </w:p>
    <w:p>
      <w:pPr>
        <w:pStyle w:val="ListBullet"/>
        <w:spacing w:before="20" w:after="40"/>
        <w:ind w:left="360"/>
      </w:pPr>
      <w:r>
        <w:rPr>
          <w:rFonts w:ascii="Calibri" w:hAnsi="Calibri"/>
          <w:b w:val="0"/>
          <w:i w:val="0"/>
          <w:sz w:val="21"/>
        </w:rPr>
        <w:t>Benchmarking de startups del sector Fintech en etapa Seed y Serie A en Colombia y levantamiento de capital promedio.</w:t>
      </w:r>
    </w:p>
    <w:p>
      <w:pPr>
        <w:spacing w:before="20" w:after="40"/>
        <w:ind w:left="360"/>
      </w:pPr>
      <w:r>
        <w:rPr>
          <w:rFonts w:ascii="Calibri" w:hAnsi="Calibri"/>
          <w:b/>
          <w:color w:val="0B3C5D"/>
          <w:sz w:val="21"/>
        </w:rPr>
        <w:t xml:space="preserve">5. </w:t>
      </w:r>
      <w:r>
        <w:rPr>
          <w:rFonts w:ascii="Calibri" w:hAnsi="Calibri"/>
          <w:b/>
          <w:sz w:val="21"/>
        </w:rPr>
        <w:t>Literatura y Metodología Académica:</w:t>
      </w:r>
    </w:p>
    <w:p>
      <w:pPr>
        <w:pStyle w:val="ListBullet"/>
        <w:spacing w:before="20" w:after="40"/>
        <w:ind w:left="360"/>
      </w:pPr>
      <w:r>
        <w:rPr>
          <w:rFonts w:ascii="Calibri" w:hAnsi="Calibri"/>
          <w:b w:val="0"/>
          <w:i w:val="0"/>
          <w:sz w:val="21"/>
        </w:rPr>
        <w:t xml:space="preserve">Aulet, Bill. </w:t>
      </w:r>
      <w:r>
        <w:rPr>
          <w:rFonts w:ascii="Calibri" w:hAnsi="Calibri"/>
          <w:i/>
          <w:sz w:val="21"/>
        </w:rPr>
        <w:t>Disciplined Entrepreneurship: 24 Steps to a Successful Startup</w:t>
      </w:r>
      <w:r>
        <w:rPr>
          <w:rFonts w:ascii="Calibri" w:hAnsi="Calibri"/>
          <w:b w:val="0"/>
          <w:i w:val="0"/>
          <w:sz w:val="21"/>
        </w:rPr>
        <w:t>. John Wiley &amp; Sons, 2013 (Referencia metodológica de los 24 Pasos y el Paso 0).</w:t>
      </w:r>
    </w:p>
    <w:p>
      <w:pPr>
        <w:pStyle w:val="ListBullet"/>
        <w:spacing w:before="20" w:after="40"/>
        <w:ind w:left="360"/>
      </w:pPr>
      <w:r>
        <w:rPr>
          <w:rFonts w:ascii="Calibri" w:hAnsi="Calibri"/>
          <w:b w:val="0"/>
          <w:i w:val="0"/>
          <w:sz w:val="21"/>
        </w:rPr>
        <w:t xml:space="preserve">Pearl, Judea. </w:t>
      </w:r>
      <w:r>
        <w:rPr>
          <w:rFonts w:ascii="Calibri" w:hAnsi="Calibri"/>
          <w:i/>
          <w:sz w:val="21"/>
        </w:rPr>
        <w:t>Causality: Models, Reasoning, and Inference</w:t>
      </w:r>
      <w:r>
        <w:rPr>
          <w:rFonts w:ascii="Calibri" w:hAnsi="Calibri"/>
          <w:b w:val="0"/>
          <w:i w:val="0"/>
          <w:sz w:val="21"/>
        </w:rPr>
        <w:t>. Cambridge University Press (Fundamento para la mitigación de sesgos y causal machine learning en evaluación crediticia).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